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F55E9">
      <w:pPr>
        <w:keepNext/>
        <w:keepLines/>
        <w:widowControl w:val="0"/>
        <w:spacing w:before="280" w:after="290" w:line="376" w:lineRule="auto"/>
        <w:ind w:left="0" w:leftChars="0" w:firstLine="0" w:firstLineChars="0"/>
        <w:outlineLvl w:val="3"/>
        <w:rPr>
          <w:rFonts w:hint="default" w:ascii="Cambria" w:hAnsi="Cambria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Cambria" w:hAnsi="Cambria" w:eastAsia="仿宋" w:cs="Times New Roman"/>
          <w:b/>
          <w:bCs/>
          <w:kern w:val="2"/>
          <w:sz w:val="28"/>
          <w:szCs w:val="28"/>
          <w:lang w:val="en-US" w:eastAsia="zh-CN" w:bidi="ar-SA"/>
        </w:rPr>
        <w:t>1.服务器</w:t>
      </w:r>
    </w:p>
    <w:tbl>
      <w:tblPr>
        <w:tblStyle w:val="2"/>
        <w:tblW w:w="87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708"/>
        <w:gridCol w:w="5856"/>
        <w:gridCol w:w="708"/>
        <w:gridCol w:w="695"/>
      </w:tblGrid>
      <w:tr w14:paraId="17173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vAlign w:val="center"/>
          </w:tcPr>
          <w:p w14:paraId="427BFB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序号</w:t>
            </w:r>
          </w:p>
        </w:tc>
        <w:tc>
          <w:tcPr>
            <w:tcW w:w="708" w:type="dxa"/>
            <w:vAlign w:val="center"/>
          </w:tcPr>
          <w:p w14:paraId="01359C7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项目</w:t>
            </w:r>
          </w:p>
        </w:tc>
        <w:tc>
          <w:tcPr>
            <w:tcW w:w="5856" w:type="dxa"/>
            <w:vAlign w:val="center"/>
          </w:tcPr>
          <w:p w14:paraId="37AA44A5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技术要求</w:t>
            </w:r>
          </w:p>
        </w:tc>
        <w:tc>
          <w:tcPr>
            <w:tcW w:w="708" w:type="dxa"/>
            <w:vAlign w:val="center"/>
          </w:tcPr>
          <w:p w14:paraId="3E45182E">
            <w:pPr>
              <w:spacing w:after="200" w:line="276" w:lineRule="auto"/>
              <w:ind w:firstLine="0" w:firstLineChars="0"/>
              <w:jc w:val="center"/>
              <w:rPr>
                <w:rFonts w:hint="eastAsia" w:ascii="Times New Roman" w:hAnsi="宋体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</w:rPr>
              <w:t>单位</w:t>
            </w:r>
          </w:p>
        </w:tc>
        <w:tc>
          <w:tcPr>
            <w:tcW w:w="695" w:type="dxa"/>
            <w:vAlign w:val="center"/>
          </w:tcPr>
          <w:p w14:paraId="49FEA052">
            <w:pPr>
              <w:spacing w:after="200" w:line="276" w:lineRule="auto"/>
              <w:ind w:firstLine="0" w:firstLineChars="0"/>
              <w:jc w:val="center"/>
              <w:rPr>
                <w:rFonts w:hint="eastAsia" w:ascii="Times New Roman" w:hAnsi="宋体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</w:rPr>
              <w:t>数量</w:t>
            </w:r>
          </w:p>
        </w:tc>
      </w:tr>
      <w:tr w14:paraId="39BA5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95" w:type="dxa"/>
            <w:vMerge w:val="restart"/>
          </w:tcPr>
          <w:p w14:paraId="05BB5178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231412B1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23825B9D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3F626E2B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4635DE54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0C9E7676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 w14:paraId="3284F9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3C08C33D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39B1FA64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26AA49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机架式服务器</w:t>
            </w:r>
          </w:p>
          <w:p w14:paraId="0C678B7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5856" w:type="dxa"/>
          </w:tcPr>
          <w:p w14:paraId="22619331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1、标准2U机架式服务器；</w:t>
            </w:r>
          </w:p>
        </w:tc>
        <w:tc>
          <w:tcPr>
            <w:tcW w:w="708" w:type="dxa"/>
            <w:vMerge w:val="restart"/>
          </w:tcPr>
          <w:p w14:paraId="5EBA35CF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3056A5EE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69DA30D4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52191F2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台</w:t>
            </w:r>
          </w:p>
        </w:tc>
        <w:tc>
          <w:tcPr>
            <w:tcW w:w="695" w:type="dxa"/>
            <w:vMerge w:val="restart"/>
          </w:tcPr>
          <w:p w14:paraId="71F83BA9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2445A7EA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41E4C3D9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  <w:p w14:paraId="2F3B86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3</w:t>
            </w:r>
          </w:p>
        </w:tc>
      </w:tr>
      <w:tr w14:paraId="18E5F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vMerge w:val="continue"/>
          </w:tcPr>
          <w:p w14:paraId="2C96C3BA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1CF8AB73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5856" w:type="dxa"/>
          </w:tcPr>
          <w:p w14:paraId="0E5E7AE7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2、配置≥2颗Intel Xeon Gold 6326 CPU，单颗核心≥16核、频率≥2.90GHz；</w:t>
            </w:r>
          </w:p>
        </w:tc>
        <w:tc>
          <w:tcPr>
            <w:tcW w:w="708" w:type="dxa"/>
            <w:vMerge w:val="continue"/>
          </w:tcPr>
          <w:p w14:paraId="36BD0D24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695" w:type="dxa"/>
            <w:vMerge w:val="continue"/>
          </w:tcPr>
          <w:p w14:paraId="4DC6B109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</w:tr>
      <w:tr w14:paraId="26377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vMerge w:val="continue"/>
          </w:tcPr>
          <w:p w14:paraId="01513E7B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484B14C5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5856" w:type="dxa"/>
          </w:tcPr>
          <w:p w14:paraId="3AEF85DD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3、内存：≥4*64GB DDR4 3200、单条内存不小于64G；</w:t>
            </w:r>
          </w:p>
        </w:tc>
        <w:tc>
          <w:tcPr>
            <w:tcW w:w="708" w:type="dxa"/>
            <w:vMerge w:val="continue"/>
          </w:tcPr>
          <w:p w14:paraId="5531AD7D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695" w:type="dxa"/>
            <w:vMerge w:val="continue"/>
          </w:tcPr>
          <w:p w14:paraId="28F0CE52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</w:tr>
      <w:tr w14:paraId="6D401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vMerge w:val="continue"/>
          </w:tcPr>
          <w:p w14:paraId="75B416AC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F6B615E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5856" w:type="dxa"/>
          </w:tcPr>
          <w:p w14:paraId="061BDA25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4、存储：系统盘≥2块480GB SATA  SSD ,数据盘≥2块3.84TB,标配盘位数≥12。</w:t>
            </w:r>
          </w:p>
        </w:tc>
        <w:tc>
          <w:tcPr>
            <w:tcW w:w="708" w:type="dxa"/>
            <w:vMerge w:val="continue"/>
          </w:tcPr>
          <w:p w14:paraId="5F81D7A7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695" w:type="dxa"/>
            <w:vMerge w:val="continue"/>
          </w:tcPr>
          <w:p w14:paraId="50E92B7E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</w:tr>
      <w:tr w14:paraId="7443D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vMerge w:val="continue"/>
          </w:tcPr>
          <w:p w14:paraId="68799A2C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13A2FF1E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5856" w:type="dxa"/>
          </w:tcPr>
          <w:p w14:paraId="1A892B41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5、接口：≥4个千兆电口，≥2个万兆光口</w:t>
            </w:r>
          </w:p>
        </w:tc>
        <w:tc>
          <w:tcPr>
            <w:tcW w:w="708" w:type="dxa"/>
            <w:vMerge w:val="continue"/>
          </w:tcPr>
          <w:p w14:paraId="540BC63D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695" w:type="dxa"/>
            <w:vMerge w:val="continue"/>
          </w:tcPr>
          <w:p w14:paraId="42331307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</w:tr>
      <w:tr w14:paraId="4E599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vMerge w:val="continue"/>
          </w:tcPr>
          <w:p w14:paraId="2D3ACCF5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8743E78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5856" w:type="dxa"/>
          </w:tcPr>
          <w:p w14:paraId="50BBE88E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6、电</w:t>
            </w: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源：白金冗余电源；</w:t>
            </w:r>
          </w:p>
        </w:tc>
        <w:tc>
          <w:tcPr>
            <w:tcW w:w="708" w:type="dxa"/>
            <w:vMerge w:val="continue"/>
          </w:tcPr>
          <w:p w14:paraId="285D183E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695" w:type="dxa"/>
            <w:vMerge w:val="continue"/>
          </w:tcPr>
          <w:p w14:paraId="577E1CD8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</w:p>
        </w:tc>
      </w:tr>
    </w:tbl>
    <w:p w14:paraId="1D2BE934">
      <w:pPr>
        <w:keepNext/>
        <w:keepLines/>
        <w:widowControl w:val="0"/>
        <w:spacing w:before="280" w:after="290" w:line="376" w:lineRule="auto"/>
        <w:ind w:left="0" w:leftChars="0" w:firstLine="0" w:firstLineChars="0"/>
        <w:outlineLvl w:val="3"/>
        <w:rPr>
          <w:rFonts w:ascii="Cambria" w:hAnsi="Cambria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Cambria" w:hAnsi="Cambria" w:eastAsia="仿宋" w:cs="Times New Roman"/>
          <w:b/>
          <w:bCs/>
          <w:kern w:val="2"/>
          <w:sz w:val="28"/>
          <w:szCs w:val="28"/>
          <w:lang w:val="en-US" w:eastAsia="zh-CN" w:bidi="ar-SA"/>
        </w:rPr>
        <w:t>2.云平台套件</w:t>
      </w:r>
    </w:p>
    <w:tbl>
      <w:tblPr>
        <w:tblStyle w:val="2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691"/>
        <w:gridCol w:w="6499"/>
        <w:gridCol w:w="456"/>
        <w:gridCol w:w="426"/>
      </w:tblGrid>
      <w:tr w14:paraId="68D87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50" w:type="dxa"/>
          </w:tcPr>
          <w:p w14:paraId="0BBCCBA4">
            <w:pPr>
              <w:keepNext/>
              <w:snapToGrid w:val="0"/>
              <w:spacing w:after="200" w:line="276" w:lineRule="auto"/>
              <w:ind w:firstLine="0" w:firstLineChars="0"/>
              <w:jc w:val="left"/>
              <w:rPr>
                <w:rFonts w:hint="eastAsia" w:ascii="Times New Roman" w:hAnsi="宋体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</w:rPr>
              <w:t>序号</w:t>
            </w:r>
          </w:p>
        </w:tc>
        <w:tc>
          <w:tcPr>
            <w:tcW w:w="710" w:type="dxa"/>
            <w:vAlign w:val="center"/>
          </w:tcPr>
          <w:p w14:paraId="0C751DA0">
            <w:pPr>
              <w:keepNext/>
              <w:snapToGrid w:val="0"/>
              <w:spacing w:after="200" w:line="276" w:lineRule="auto"/>
              <w:ind w:firstLine="0" w:firstLineChars="0"/>
              <w:jc w:val="left"/>
              <w:rPr>
                <w:rFonts w:ascii="Times New Roman" w:hAnsi="宋体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</w:rPr>
              <w:t>项目</w:t>
            </w:r>
          </w:p>
        </w:tc>
        <w:tc>
          <w:tcPr>
            <w:tcW w:w="6916" w:type="dxa"/>
          </w:tcPr>
          <w:p w14:paraId="39159E30">
            <w:pPr>
              <w:keepNext/>
              <w:snapToGrid w:val="0"/>
              <w:spacing w:after="200" w:line="276" w:lineRule="auto"/>
              <w:ind w:firstLine="420" w:firstLineChars="200"/>
              <w:jc w:val="center"/>
              <w:rPr>
                <w:rFonts w:ascii="Times New Roman" w:hAnsi="宋体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</w:rPr>
              <w:t>技术要求</w:t>
            </w:r>
          </w:p>
        </w:tc>
        <w:tc>
          <w:tcPr>
            <w:tcW w:w="222" w:type="dxa"/>
          </w:tcPr>
          <w:p w14:paraId="66549CBD">
            <w:pPr>
              <w:keepNext/>
              <w:snapToGrid w:val="0"/>
              <w:spacing w:after="200" w:line="276" w:lineRule="auto"/>
              <w:jc w:val="both"/>
              <w:rPr>
                <w:rFonts w:hint="eastAsia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222" w:type="dxa"/>
          </w:tcPr>
          <w:p w14:paraId="19E12A02">
            <w:pPr>
              <w:keepNext/>
              <w:snapToGrid w:val="0"/>
              <w:spacing w:after="200" w:line="276" w:lineRule="auto"/>
              <w:jc w:val="both"/>
              <w:rPr>
                <w:rFonts w:hint="eastAsia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  <w:t>数量</w:t>
            </w:r>
          </w:p>
        </w:tc>
      </w:tr>
      <w:tr w14:paraId="2A6EE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dxa"/>
            <w:vAlign w:val="center"/>
          </w:tcPr>
          <w:p w14:paraId="23ABE428">
            <w:pPr>
              <w:keepNext/>
              <w:snapToGrid w:val="0"/>
              <w:spacing w:after="200" w:line="276" w:lineRule="auto"/>
              <w:ind w:firstLine="0" w:firstLineChars="0"/>
              <w:jc w:val="center"/>
              <w:rPr>
                <w:rFonts w:hint="default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10" w:type="dxa"/>
            <w:vAlign w:val="center"/>
          </w:tcPr>
          <w:p w14:paraId="322C3A5D">
            <w:pPr>
              <w:keepNext/>
              <w:snapToGrid w:val="0"/>
              <w:spacing w:after="200" w:line="276" w:lineRule="auto"/>
              <w:ind w:firstLine="0" w:firstLineChars="0"/>
              <w:jc w:val="center"/>
              <w:rPr>
                <w:rFonts w:hint="eastAsia" w:ascii="Times New Roman" w:hAnsi="宋体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</w:rPr>
              <w:t>计算虚拟化</w:t>
            </w:r>
          </w:p>
        </w:tc>
        <w:tc>
          <w:tcPr>
            <w:tcW w:w="6916" w:type="dxa"/>
          </w:tcPr>
          <w:p w14:paraId="46957C4D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1、支持根据不同业务场景需求，按主机和虚拟机粒度开启或关闭内存分层功能，并支持在主机和虚拟机不停机的情况下进行配置调整。</w:t>
            </w:r>
          </w:p>
          <w:p w14:paraId="3965162E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2、虚拟机迁移支持指定网口迁移、限制迁移速度、启用压缩传输，同时虚拟机迁移过程中如因数据写入量过大迁移不完，可支持强制切换操作。</w:t>
            </w:r>
          </w:p>
          <w:p w14:paraId="2274BA26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3、具备基本资源监控功能，查看CPU、网络和磁盘已使用实时数据信息，最小监控粒度可达到20s，可以点击告警设置对CPU、网络和磁盘进行占用阈值设置操作，可以以告警通知。（需提供产品功能截图，并加盖厂商公章）</w:t>
            </w:r>
          </w:p>
          <w:p w14:paraId="54A8F819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4、超融合应提供基于性能均衡模式的DRS机制，支持自动评估物理主机的负载情况，当物理主机负载过高时，自动将该物理主机上的虚拟机迁移到其他负载较低的主机上，确保业务持续稳定和集群主机负载均衡；超融合应提供基于成本最优模式的DRS机制，且尽可能的将可靠性低的主机的虚拟机迁移至可靠性高的主机上，从而腾空部分主机，达到提升主机密度的效果；同时通过AI算法可以对虚拟机、主机的性能、可靠性打分，提供调度建议，提升DRS过程中的精准度。支持设置DRS调度时间段（需提供产品功能截图，并加盖厂商公章）</w:t>
            </w:r>
          </w:p>
          <w:p w14:paraId="6B4F40F9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5、支持虚拟机启用CPU预留机制，能够动态保障高优先级业务虚拟机需要资源时可以优先获取，且低优先级任务的运行不对高优先级任务造成明显干扰，在保障高优先级业务的性能情况下，提升资源利用率。而对于明显具有峰谷的周期性业务，可以指定时间段启用CPU预留，最大程度提升CPU利用率。同时支持设置主机的统一CPU预留比例，保证重要虚拟机可以分配到预留CPU。（需提供产品功能截图，并加盖厂商公章）</w:t>
            </w:r>
          </w:p>
          <w:p w14:paraId="1117BE8A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6、支持对运行异常虚拟机进行HA拉起，包括网络（存储网，VXLan网，业务网）异常，硬件（主板、CPU、内存、磁盘、电源、GPU、加密卡）异常，虚拟机进程异常、I/O异常挂起，修正状态异常虚拟机、主机离线的虚拟机；超融合应支持主动HA功能，亚健康主机上的虚拟机，可热迁移至健康主机。用户可灵活选择响应方式。</w:t>
            </w:r>
          </w:p>
          <w:p w14:paraId="28FE1210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7、支持内存ECC自动纠错机制，当扫描到物理主机的内存条出现ECC CE、UE错误时，能够将对应内存空间进行隔离并告警故障内存条的槽位，减少内存问题对业务的影响（需提供评测机构隶属于工信部的权威第三方带有CNAS的检测报告证明，至少包含报告首页，对应功能测试页和报告尾页）</w:t>
            </w:r>
          </w:p>
        </w:tc>
        <w:tc>
          <w:tcPr>
            <w:tcW w:w="222" w:type="dxa"/>
            <w:vAlign w:val="center"/>
          </w:tcPr>
          <w:p w14:paraId="272483DC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套</w:t>
            </w:r>
          </w:p>
        </w:tc>
        <w:tc>
          <w:tcPr>
            <w:tcW w:w="222" w:type="dxa"/>
            <w:vAlign w:val="center"/>
          </w:tcPr>
          <w:p w14:paraId="4DA338F6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6</w:t>
            </w:r>
          </w:p>
        </w:tc>
      </w:tr>
      <w:tr w14:paraId="12812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dxa"/>
            <w:vAlign w:val="center"/>
          </w:tcPr>
          <w:p w14:paraId="22AB6374">
            <w:pPr>
              <w:keepNext/>
              <w:snapToGrid w:val="0"/>
              <w:spacing w:after="200" w:line="276" w:lineRule="auto"/>
              <w:ind w:firstLine="0" w:firstLineChars="0"/>
              <w:jc w:val="center"/>
              <w:rPr>
                <w:rFonts w:hint="default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 w14:paraId="441E02E1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存储虚拟化</w:t>
            </w:r>
          </w:p>
        </w:tc>
        <w:tc>
          <w:tcPr>
            <w:tcW w:w="6916" w:type="dxa"/>
          </w:tcPr>
          <w:p w14:paraId="16190DF5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1、支持进行数据重建操作，重建速率达到30分钟/TB；重建过程中可以查看数据重建任务列表信息，包括对象名称、对象类型、数据量和优先级等；支持点击操作中的优先级对数据重建进行优先重建（需提供评测机构隶属于工信部的权威第三方带有CNAS的检测报告证明，至少包含报告首页，对应功能测试页和报告尾页）</w:t>
            </w:r>
          </w:p>
          <w:p w14:paraId="63FA3A65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2、支持选择多种克隆方式，包括快速全量克隆、全量克隆和链接克隆，可查看通过链接克隆的虚拟机是否运行正常，可以设置克隆完成后自动启动克隆虚拟机操作。</w:t>
            </w:r>
          </w:p>
          <w:p w14:paraId="323C184C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3、为保证磁盘健康，支持坏道扫描功能，可以在定时坏道扫描界面设置执行时间并执行坏道扫描任务，由用户设置扫描的扫描时间段定期对集群的硬盘进行扫描，及时发现潜藏的坏道。并支持发现坏道后，主动修复坏道区域数据。 （需提供评测机构隶属于工信部的权威第三方带有CNAS的检测报告证明，至少包含报告首页，对应功能测试页和报告尾页）</w:t>
            </w:r>
          </w:p>
          <w:p w14:paraId="6B3C850E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  <w:t>4、支持硬盘寿命预测功能，可以查看磁盘寿命页面列表项信息，包括硬盘名称、剩余寿命、预计剩余可用时长和寿命风险。</w:t>
            </w:r>
          </w:p>
        </w:tc>
        <w:tc>
          <w:tcPr>
            <w:tcW w:w="222" w:type="dxa"/>
            <w:vAlign w:val="center"/>
          </w:tcPr>
          <w:p w14:paraId="4100573E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套</w:t>
            </w:r>
          </w:p>
        </w:tc>
        <w:tc>
          <w:tcPr>
            <w:tcW w:w="222" w:type="dxa"/>
            <w:vAlign w:val="center"/>
          </w:tcPr>
          <w:p w14:paraId="71CABE4A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6</w:t>
            </w:r>
          </w:p>
        </w:tc>
      </w:tr>
      <w:tr w14:paraId="3E991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dxa"/>
            <w:vAlign w:val="center"/>
          </w:tcPr>
          <w:p w14:paraId="6B3AF9FB">
            <w:pPr>
              <w:keepNext/>
              <w:snapToGrid w:val="0"/>
              <w:spacing w:after="200" w:line="276" w:lineRule="auto"/>
              <w:ind w:firstLine="0" w:firstLineChars="0"/>
              <w:jc w:val="center"/>
              <w:rPr>
                <w:rFonts w:hint="default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10" w:type="dxa"/>
            <w:vAlign w:val="center"/>
          </w:tcPr>
          <w:p w14:paraId="3E5BF820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云计算管理平台</w:t>
            </w:r>
          </w:p>
        </w:tc>
        <w:tc>
          <w:tcPr>
            <w:tcW w:w="6916" w:type="dxa"/>
          </w:tcPr>
          <w:p w14:paraId="563D24C7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1、产品完全自研，非OEM，需提供云计算管理平台的软件著作权证书</w:t>
            </w:r>
          </w:p>
          <w:p w14:paraId="614AB53A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2、为满足用户大规模资源池建设需求，云管平台应具备大规模集群的纳管能力，支持跨地域的多集群管理，物理节点纳管规模应超过1000台。</w:t>
            </w:r>
          </w:p>
          <w:p w14:paraId="16219E5A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3、云管平台应具备完善的可靠性功能，需支持CDP、本地备份、异地容灾、云容灾等高可用服务，当主平台发生故障时，能够切换到备平台，保障云平台稳定运行。</w:t>
            </w:r>
          </w:p>
          <w:p w14:paraId="408DBE19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4、支持对X86、ARM架构的物理机进行生命周期管理，包括开关机、控制台接入、分配给租户、回收、删除操作，可单台或批量添加物理机至云平台并实时监控物理机的CPU、内存信息</w:t>
            </w:r>
          </w:p>
          <w:p w14:paraId="0AE6615C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5、支持查看镜像页面，包括公共镜像、私有镜像和网络设备镜像，可对公共镜像、私有镜像和网络设备镜像进行统一上传镜像和管理操作；可通过镜像实现一键快速创建云主机，可对网络设备镜像通过网络拓扑进行虚拟化安全组件部署。</w:t>
            </w:r>
          </w:p>
        </w:tc>
        <w:tc>
          <w:tcPr>
            <w:tcW w:w="222" w:type="dxa"/>
            <w:vAlign w:val="center"/>
          </w:tcPr>
          <w:p w14:paraId="4DAEA900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套</w:t>
            </w:r>
          </w:p>
        </w:tc>
        <w:tc>
          <w:tcPr>
            <w:tcW w:w="222" w:type="dxa"/>
            <w:vAlign w:val="center"/>
          </w:tcPr>
          <w:p w14:paraId="64F534E8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6</w:t>
            </w:r>
          </w:p>
        </w:tc>
      </w:tr>
      <w:tr w14:paraId="7285B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dxa"/>
            <w:vAlign w:val="center"/>
          </w:tcPr>
          <w:p w14:paraId="574093D1">
            <w:pPr>
              <w:keepNext/>
              <w:snapToGrid w:val="0"/>
              <w:spacing w:after="200" w:line="276" w:lineRule="auto"/>
              <w:ind w:firstLine="0" w:firstLineChars="0"/>
              <w:jc w:val="center"/>
              <w:rPr>
                <w:rFonts w:hint="default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10" w:type="dxa"/>
            <w:vAlign w:val="center"/>
          </w:tcPr>
          <w:p w14:paraId="00D80E18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网络虚拟化</w:t>
            </w:r>
          </w:p>
        </w:tc>
        <w:tc>
          <w:tcPr>
            <w:tcW w:w="6916" w:type="dxa"/>
          </w:tcPr>
          <w:p w14:paraId="46D3749C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1、可以在网络可视化界面显示两台虚机间的访问流，可以通过分布式防火墙中断访问流并显示通信状态，可以显示所有虚拟机的流量走向与访问关系，包括源对象、源 IP、目标对象、目的IP、访问次数、服务类型、动作。</w:t>
            </w:r>
          </w:p>
          <w:p w14:paraId="78C79CE8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2、超融合应支持微隔离策略推荐，自动通过访问关系、历史流量和用户配置来生成最适合的微隔离规则，并且可以预发布策略，预览访问关系和防护状况，在二次确认后发布推荐策略。（需提供产品功能截图，并加盖厂商公章）</w:t>
            </w:r>
          </w:p>
          <w:p w14:paraId="01BD2315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3、支持手动指定虚拟路由器运行在固定的物理主机上，可以自动将虚拟路由器规划到高性能和高吞吐的物理主机上。</w:t>
            </w:r>
          </w:p>
          <w:p w14:paraId="1D81DD70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4、可以通过拖拽连线完成网络拓扑的构建；可以在网络拓扑页面通过功能键实现虚拟网络连接、开启和关闭等操作</w:t>
            </w:r>
          </w:p>
          <w:p w14:paraId="67C8AC28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（需提供评测机构隶属于工信部的权威第三方带有CNAS的检测报告证明，至少包含报告首页，对应功能测试页和报告尾页）。</w:t>
            </w:r>
          </w:p>
          <w:p w14:paraId="79B51CD2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5、支持分布式虚拟交换机、虚拟路由器、虚拟应用防火墙和虚拟应用负载均衡，并能够在同一个平台内统一激活使用。能够同时支持Vxlan网络和现有的Vlan网络，以确保虚拟化平台与我们现有的网络环境兼容。</w:t>
            </w:r>
          </w:p>
        </w:tc>
        <w:tc>
          <w:tcPr>
            <w:tcW w:w="222" w:type="dxa"/>
            <w:vAlign w:val="center"/>
          </w:tcPr>
          <w:p w14:paraId="1E9AD78F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套</w:t>
            </w:r>
          </w:p>
        </w:tc>
        <w:tc>
          <w:tcPr>
            <w:tcW w:w="222" w:type="dxa"/>
            <w:vAlign w:val="center"/>
          </w:tcPr>
          <w:p w14:paraId="3504980C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6</w:t>
            </w:r>
          </w:p>
        </w:tc>
      </w:tr>
      <w:tr w14:paraId="6138F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dxa"/>
            <w:vAlign w:val="center"/>
          </w:tcPr>
          <w:p w14:paraId="4EF63E6E">
            <w:pPr>
              <w:keepNext/>
              <w:snapToGrid w:val="0"/>
              <w:spacing w:after="200" w:line="276" w:lineRule="auto"/>
              <w:ind w:firstLine="0" w:firstLineChars="0"/>
              <w:jc w:val="center"/>
              <w:rPr>
                <w:rFonts w:hint="default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仿宋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10" w:type="dxa"/>
            <w:vAlign w:val="center"/>
          </w:tcPr>
          <w:p w14:paraId="7BCC44C6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安全虚拟化</w:t>
            </w:r>
          </w:p>
        </w:tc>
        <w:tc>
          <w:tcPr>
            <w:tcW w:w="6916" w:type="dxa"/>
          </w:tcPr>
          <w:p w14:paraId="188C7F40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1、提供可靠的向导化勒索病毒处理流程，包括紧急隔离、保留当前状态、恢复云主机、扫描病毒、恢复网络。并支持事前勒索病毒防护、事中检测疑似勒索可打自动对虚拟机打快照、事后勒索病毒向导化处理（需提供评测机构隶属于工信部的权威第三方带有CNAS的检测报告证明，至少包含报告首页，对应功能测试页和报告尾页）</w:t>
            </w:r>
          </w:p>
          <w:p w14:paraId="74226621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2、支持对虚拟机漏洞情况进行扫描，查看漏洞详情并恢复。包括检测时间、检测来源、解决建议、修复流程等。并可以扫描出的漏洞修复能力。</w:t>
            </w:r>
          </w:p>
          <w:p w14:paraId="6D38D052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3、支持在虚拟机安装性能优化工具时自动安装agent对操作系统进行安全防护。（需提供评测机构隶属于工信部的权威第三方带有CNAS的检测报告证明，至少包含报告首页，对应功能测试页和报告尾页）</w:t>
            </w:r>
          </w:p>
          <w:p w14:paraId="4B856C08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4、支持联动以达到最佳安全效果，需提供同一品牌云安全中心，无需界面跳转即可实现安全统一管理提升安全运维效率，需提供一站式工作台展示云上资产安全防护情况展示，包括安全风险分布，以及病毒、攻击、漏洞等风险的TOP 5云主机（需提供产品界面截图，并加盖厂商公章）</w:t>
            </w:r>
          </w:p>
          <w:p w14:paraId="59BE6A3C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220" w:leftChars="0" w:firstLine="480" w:firstLineChars="200"/>
              <w:jc w:val="left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5、支持安全事件展示、安全风险分析、风险趋势分析、告警与处置记录、病毒和漏洞扫描记录，并实时监控虚拟机的防护状态。</w:t>
            </w:r>
          </w:p>
        </w:tc>
        <w:tc>
          <w:tcPr>
            <w:tcW w:w="222" w:type="dxa"/>
            <w:vAlign w:val="center"/>
          </w:tcPr>
          <w:p w14:paraId="1714DB54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套</w:t>
            </w:r>
          </w:p>
        </w:tc>
        <w:tc>
          <w:tcPr>
            <w:tcW w:w="222" w:type="dxa"/>
            <w:vAlign w:val="center"/>
          </w:tcPr>
          <w:p w14:paraId="7F326294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en-US" w:eastAsia="zh-CN"/>
              </w:rPr>
              <w:t>6</w:t>
            </w:r>
          </w:p>
        </w:tc>
      </w:tr>
    </w:tbl>
    <w:p w14:paraId="7FF8F3B1">
      <w:pPr>
        <w:rPr>
          <w:rFonts w:ascii="Calibri" w:hAnsi="Calibri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A1C9A"/>
    <w:rsid w:val="0BB41243"/>
    <w:rsid w:val="4F2A1C9A"/>
    <w:rsid w:val="55E5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3931</Words>
  <Characters>4284</Characters>
  <Lines>0</Lines>
  <Paragraphs>0</Paragraphs>
  <TotalTime>7</TotalTime>
  <ScaleCrop>false</ScaleCrop>
  <LinksUpToDate>false</LinksUpToDate>
  <CharactersWithSpaces>4307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2026-07-08T07:12:00Z</dcterms:created>
  <dc:creator>ku</dc:creator>
  <cp:lastModifiedBy>ku</cp:lastModifiedBy>
  <dcterms:modified xsi:type="dcterms:W3CDTF">2026-09-18T02:46:07Z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F157520C1DA34F6AB9437AAE47575725_13</vt:lpwstr>
  </property>
  <property fmtid="{D5CDD505-2E9C-101B-9397-08002B2CF9AE}" pid="4" name="KSOTemplateDocerSaveRecord">
    <vt:lpwstr>eyJoZGlkIjoiOTRhN2Y4MDQzYTlhOTBhM2I2MWZiOTEzMDkyMDJjZDciLCJ1c2VySWQiOiIzMTAyODQyNTgifQ==</vt:lpwstr>
  </property>
</Properties>
</file>