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20" w:lineRule="exact"/>
        <w:ind w:firstLine="1080"/>
        <w:jc w:val="center"/>
        <w:rPr>
          <w:rFonts w:ascii="宋体" w:hAnsi="宋体" w:cs="宋体"/>
          <w:spacing w:val="10"/>
          <w:sz w:val="28"/>
          <w:szCs w:val="28"/>
        </w:rPr>
      </w:pPr>
      <w:r>
        <w:rPr>
          <w:rFonts w:hint="eastAsia" w:ascii="宋体" w:hAnsi="宋体" w:cs="宋体"/>
          <w:spacing w:val="10"/>
          <w:sz w:val="28"/>
          <w:szCs w:val="28"/>
        </w:rPr>
        <w:t xml:space="preserve"> </w:t>
      </w:r>
    </w:p>
    <w:p>
      <w:pPr>
        <w:spacing w:line="620" w:lineRule="exact"/>
        <w:ind w:firstLine="1080"/>
        <w:jc w:val="center"/>
        <w:rPr>
          <w:rFonts w:ascii="宋体" w:hAnsi="宋体" w:cs="宋体"/>
          <w:spacing w:val="10"/>
          <w:sz w:val="28"/>
          <w:szCs w:val="28"/>
        </w:rPr>
      </w:pPr>
    </w:p>
    <w:p>
      <w:pPr>
        <w:rPr>
          <w:rFonts w:ascii="黑体" w:hAnsi="黑体" w:eastAsia="黑体" w:cs="黑体"/>
          <w:sz w:val="84"/>
          <w:szCs w:val="84"/>
        </w:rPr>
      </w:pPr>
    </w:p>
    <w:p>
      <w:pPr>
        <w:jc w:val="center"/>
        <w:rPr>
          <w:rFonts w:ascii="宋体" w:hAnsi="宋体" w:cs="宋体"/>
          <w:sz w:val="84"/>
          <w:szCs w:val="84"/>
        </w:rPr>
      </w:pPr>
      <w:r>
        <w:rPr>
          <w:rFonts w:hint="eastAsia" w:ascii="黑体" w:hAnsi="黑体" w:eastAsia="黑体" w:cs="黑体"/>
          <w:sz w:val="84"/>
          <w:szCs w:val="84"/>
        </w:rPr>
        <w:t xml:space="preserve"> </w:t>
      </w:r>
      <w:r>
        <w:rPr>
          <w:rFonts w:hint="eastAsia" w:ascii="宋体" w:hAnsi="宋体" w:cs="宋体"/>
          <w:sz w:val="84"/>
          <w:szCs w:val="84"/>
        </w:rPr>
        <w:t>招标文件</w:t>
      </w:r>
    </w:p>
    <w:p>
      <w:pPr>
        <w:spacing w:line="620" w:lineRule="exact"/>
        <w:ind w:firstLine="460"/>
        <w:jc w:val="center"/>
        <w:rPr>
          <w:rFonts w:ascii="宋体" w:hAnsi="宋体" w:cs="宋体"/>
          <w:spacing w:val="10"/>
          <w:sz w:val="28"/>
          <w:szCs w:val="28"/>
        </w:rPr>
      </w:pPr>
    </w:p>
    <w:p>
      <w:pPr>
        <w:spacing w:line="620" w:lineRule="exact"/>
        <w:ind w:firstLine="462"/>
        <w:jc w:val="center"/>
        <w:rPr>
          <w:rFonts w:ascii="宋体" w:hAnsi="宋体" w:cs="宋体"/>
          <w:b/>
          <w:spacing w:val="10"/>
          <w:sz w:val="28"/>
          <w:szCs w:val="28"/>
        </w:rPr>
      </w:pPr>
      <w:r>
        <w:rPr>
          <w:rFonts w:hint="eastAsia" w:ascii="宋体" w:hAnsi="宋体" w:cs="宋体"/>
          <w:b/>
          <w:spacing w:val="10"/>
          <w:sz w:val="28"/>
          <w:szCs w:val="28"/>
        </w:rPr>
        <w:drawing>
          <wp:anchor distT="0" distB="0" distL="114300" distR="114300" simplePos="0" relativeHeight="251659264" behindDoc="1" locked="0" layoutInCell="1" allowOverlap="1">
            <wp:simplePos x="0" y="0"/>
            <wp:positionH relativeFrom="column">
              <wp:posOffset>2143760</wp:posOffset>
            </wp:positionH>
            <wp:positionV relativeFrom="paragraph">
              <wp:posOffset>118110</wp:posOffset>
            </wp:positionV>
            <wp:extent cx="1341120" cy="1328420"/>
            <wp:effectExtent l="0" t="0" r="11430" b="5080"/>
            <wp:wrapNone/>
            <wp:docPr id="1" name="图片 4" descr="15259975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1525997506(1)"/>
                    <pic:cNvPicPr>
                      <a:picLocks noChangeAspect="1"/>
                    </pic:cNvPicPr>
                  </pic:nvPicPr>
                  <pic:blipFill>
                    <a:blip r:embed="rId5"/>
                    <a:stretch>
                      <a:fillRect/>
                    </a:stretch>
                  </pic:blipFill>
                  <pic:spPr>
                    <a:xfrm>
                      <a:off x="0" y="0"/>
                      <a:ext cx="1341120" cy="1328420"/>
                    </a:xfrm>
                    <a:prstGeom prst="rect">
                      <a:avLst/>
                    </a:prstGeom>
                    <a:noFill/>
                    <a:ln>
                      <a:noFill/>
                    </a:ln>
                  </pic:spPr>
                </pic:pic>
              </a:graphicData>
            </a:graphic>
          </wp:anchor>
        </w:drawing>
      </w:r>
    </w:p>
    <w:p>
      <w:pPr>
        <w:spacing w:line="620" w:lineRule="exact"/>
        <w:ind w:firstLine="462"/>
        <w:jc w:val="center"/>
        <w:rPr>
          <w:rFonts w:ascii="宋体" w:hAnsi="宋体" w:cs="宋体"/>
          <w:b/>
          <w:spacing w:val="10"/>
          <w:sz w:val="28"/>
          <w:szCs w:val="28"/>
        </w:rPr>
      </w:pPr>
    </w:p>
    <w:p>
      <w:pPr>
        <w:spacing w:line="620" w:lineRule="exact"/>
        <w:ind w:firstLine="683"/>
        <w:jc w:val="center"/>
        <w:rPr>
          <w:rFonts w:ascii="宋体" w:hAnsi="宋体" w:cs="宋体"/>
          <w:b/>
          <w:spacing w:val="10"/>
          <w:sz w:val="28"/>
          <w:szCs w:val="28"/>
        </w:rPr>
      </w:pPr>
    </w:p>
    <w:p>
      <w:pPr>
        <w:spacing w:line="620" w:lineRule="exact"/>
        <w:rPr>
          <w:rFonts w:ascii="宋体" w:hAnsi="宋体" w:cs="宋体"/>
          <w:spacing w:val="10"/>
          <w:sz w:val="28"/>
          <w:szCs w:val="28"/>
        </w:rPr>
      </w:pPr>
      <w:r>
        <w:rPr>
          <w:rFonts w:hint="eastAsia" w:ascii="宋体" w:hAnsi="宋体" w:cs="宋体"/>
          <w:spacing w:val="10"/>
          <w:sz w:val="28"/>
          <w:szCs w:val="28"/>
        </w:rPr>
        <w:t xml:space="preserve">        </w:t>
      </w:r>
    </w:p>
    <w:p>
      <w:pPr>
        <w:spacing w:line="620" w:lineRule="exact"/>
        <w:rPr>
          <w:rFonts w:ascii="宋体" w:hAnsi="宋体" w:cs="宋体"/>
          <w:spacing w:val="10"/>
          <w:sz w:val="28"/>
          <w:szCs w:val="28"/>
        </w:rPr>
      </w:pPr>
      <w:r>
        <w:rPr>
          <w:rFonts w:hint="eastAsia" w:ascii="宋体" w:hAnsi="宋体" w:cs="宋体"/>
          <w:spacing w:val="10"/>
          <w:sz w:val="28"/>
          <w:szCs w:val="28"/>
        </w:rPr>
        <w:t xml:space="preserve">       </w:t>
      </w:r>
    </w:p>
    <w:p>
      <w:pPr>
        <w:spacing w:line="620" w:lineRule="exact"/>
        <w:rPr>
          <w:rFonts w:ascii="宋体" w:hAnsi="宋体" w:cs="宋体"/>
          <w:spacing w:val="10"/>
          <w:sz w:val="28"/>
          <w:szCs w:val="28"/>
        </w:rPr>
      </w:pPr>
    </w:p>
    <w:p>
      <w:pPr>
        <w:spacing w:line="620" w:lineRule="exact"/>
        <w:rPr>
          <w:rFonts w:ascii="仿宋" w:hAnsi="仿宋" w:eastAsia="仿宋" w:cs="仿宋"/>
          <w:b/>
          <w:bCs/>
          <w:sz w:val="36"/>
          <w:szCs w:val="36"/>
        </w:rPr>
      </w:pPr>
      <w:r>
        <w:rPr>
          <w:rFonts w:hint="eastAsia" w:ascii="宋体" w:hAnsi="宋体" w:cs="宋体"/>
          <w:b/>
          <w:bCs/>
          <w:spacing w:val="10"/>
          <w:sz w:val="36"/>
          <w:szCs w:val="36"/>
        </w:rPr>
        <w:t>项目名称：</w:t>
      </w:r>
      <w:bookmarkStart w:id="0" w:name="OLE_LINK1"/>
      <w:r>
        <w:rPr>
          <w:rFonts w:hint="eastAsia" w:ascii="宋体" w:hAnsi="宋体" w:cs="宋体"/>
          <w:b/>
          <w:bCs/>
          <w:spacing w:val="10"/>
          <w:sz w:val="36"/>
          <w:szCs w:val="36"/>
        </w:rPr>
        <w:t>金晖路厂高压及低压开关柜改造项目</w:t>
      </w:r>
      <w:r>
        <w:rPr>
          <w:rFonts w:hint="eastAsia" w:ascii="仿宋" w:hAnsi="仿宋" w:eastAsia="仿宋" w:cs="仿宋"/>
          <w:b/>
          <w:bCs/>
          <w:sz w:val="36"/>
          <w:szCs w:val="36"/>
        </w:rPr>
        <w:t xml:space="preserve"> </w:t>
      </w:r>
    </w:p>
    <w:bookmarkEnd w:id="0"/>
    <w:p>
      <w:pPr>
        <w:spacing w:line="620" w:lineRule="exact"/>
        <w:rPr>
          <w:rFonts w:ascii="宋体" w:hAnsi="宋体" w:cs="宋体"/>
          <w:b/>
          <w:bCs/>
          <w:spacing w:val="10"/>
          <w:sz w:val="36"/>
          <w:szCs w:val="36"/>
        </w:rPr>
      </w:pPr>
    </w:p>
    <w:p>
      <w:pPr>
        <w:spacing w:line="620" w:lineRule="exact"/>
        <w:rPr>
          <w:rFonts w:ascii="宋体" w:hAnsi="宋体" w:cs="宋体"/>
          <w:b/>
          <w:bCs/>
          <w:spacing w:val="10"/>
          <w:sz w:val="36"/>
          <w:szCs w:val="36"/>
        </w:rPr>
      </w:pPr>
      <w:r>
        <w:rPr>
          <w:rFonts w:hint="eastAsia" w:ascii="宋体" w:hAnsi="宋体" w:cs="宋体"/>
          <w:b/>
          <w:bCs/>
          <w:spacing w:val="10"/>
          <w:sz w:val="36"/>
          <w:szCs w:val="36"/>
        </w:rPr>
        <w:t>招标单位：   山东金都电子材料有限公司</w:t>
      </w:r>
    </w:p>
    <w:p>
      <w:pPr>
        <w:spacing w:line="620" w:lineRule="exact"/>
        <w:jc w:val="left"/>
        <w:rPr>
          <w:rFonts w:ascii="宋体" w:hAnsi="宋体" w:cs="宋体"/>
          <w:spacing w:val="10"/>
          <w:sz w:val="28"/>
          <w:szCs w:val="28"/>
        </w:rPr>
      </w:pPr>
    </w:p>
    <w:p>
      <w:pPr>
        <w:spacing w:line="620" w:lineRule="exact"/>
        <w:jc w:val="left"/>
        <w:rPr>
          <w:rFonts w:ascii="宋体" w:hAnsi="宋体" w:cs="宋体"/>
          <w:spacing w:val="10"/>
          <w:sz w:val="28"/>
          <w:szCs w:val="28"/>
        </w:rPr>
      </w:pPr>
    </w:p>
    <w:p>
      <w:pPr>
        <w:spacing w:line="620" w:lineRule="exact"/>
        <w:jc w:val="center"/>
        <w:rPr>
          <w:rFonts w:ascii="宋体" w:hAnsi="宋体" w:cs="宋体"/>
          <w:spacing w:val="10"/>
          <w:sz w:val="28"/>
          <w:szCs w:val="28"/>
        </w:rPr>
      </w:pPr>
      <w:r>
        <w:rPr>
          <w:rFonts w:hint="eastAsia" w:ascii="宋体" w:hAnsi="宋体" w:cs="宋体"/>
          <w:spacing w:val="10"/>
          <w:sz w:val="28"/>
          <w:szCs w:val="28"/>
        </w:rPr>
        <w:t>2025年3月1</w:t>
      </w:r>
      <w:r>
        <w:rPr>
          <w:rFonts w:hint="eastAsia" w:ascii="宋体" w:hAnsi="宋体" w:cs="宋体"/>
          <w:spacing w:val="10"/>
          <w:sz w:val="28"/>
          <w:szCs w:val="28"/>
          <w:lang w:val="en-US" w:eastAsia="zh-CN"/>
        </w:rPr>
        <w:t>4</w:t>
      </w:r>
      <w:r>
        <w:rPr>
          <w:rFonts w:hint="eastAsia" w:ascii="宋体" w:hAnsi="宋体" w:cs="宋体"/>
          <w:spacing w:val="10"/>
          <w:sz w:val="28"/>
          <w:szCs w:val="28"/>
        </w:rPr>
        <w:t>日</w:t>
      </w:r>
    </w:p>
    <w:p>
      <w:pPr>
        <w:spacing w:line="620" w:lineRule="exact"/>
        <w:ind w:firstLine="3900" w:firstLineChars="1300"/>
        <w:jc w:val="left"/>
        <w:rPr>
          <w:rFonts w:ascii="宋体" w:hAnsi="宋体" w:cs="宋体"/>
          <w:spacing w:val="10"/>
          <w:sz w:val="28"/>
          <w:szCs w:val="28"/>
        </w:rPr>
      </w:pPr>
    </w:p>
    <w:p>
      <w:pPr>
        <w:spacing w:line="620" w:lineRule="exact"/>
        <w:rPr>
          <w:rFonts w:ascii="黑体" w:hAnsi="黑体" w:eastAsia="黑体" w:cs="黑体"/>
          <w:sz w:val="44"/>
          <w:szCs w:val="44"/>
        </w:rPr>
      </w:pPr>
    </w:p>
    <w:p>
      <w:pPr>
        <w:pStyle w:val="2"/>
        <w:ind w:firstLine="640"/>
      </w:pPr>
    </w:p>
    <w:p>
      <w:pPr>
        <w:spacing w:line="620" w:lineRule="exact"/>
        <w:jc w:val="center"/>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第一部分  投标邀请书</w:t>
      </w:r>
    </w:p>
    <w:p>
      <w:pPr>
        <w:spacing w:line="620" w:lineRule="exac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山东金都电子材料有限公司现就</w:t>
      </w:r>
      <w:r>
        <w:rPr>
          <w:rFonts w:hint="eastAsia" w:asciiTheme="minorEastAsia" w:hAnsiTheme="minorEastAsia" w:eastAsiaTheme="minorEastAsia" w:cstheme="minorEastAsia"/>
          <w:spacing w:val="10"/>
          <w:sz w:val="28"/>
          <w:szCs w:val="28"/>
          <w:u w:val="single"/>
        </w:rPr>
        <w:t>“</w:t>
      </w:r>
      <w:bookmarkStart w:id="1" w:name="OLE_LINK4"/>
      <w:bookmarkStart w:id="2" w:name="OLE_LINK2"/>
      <w:r>
        <w:rPr>
          <w:rFonts w:hint="eastAsia" w:asciiTheme="minorEastAsia" w:hAnsiTheme="minorEastAsia" w:eastAsiaTheme="minorEastAsia" w:cstheme="minorEastAsia"/>
          <w:spacing w:val="10"/>
          <w:sz w:val="28"/>
          <w:szCs w:val="28"/>
          <w:u w:val="single"/>
        </w:rPr>
        <w:t>金晖路厂高压及低压开关柜改造项目</w:t>
      </w:r>
      <w:bookmarkEnd w:id="1"/>
      <w:r>
        <w:rPr>
          <w:rFonts w:hint="eastAsia" w:asciiTheme="minorEastAsia" w:hAnsiTheme="minorEastAsia" w:eastAsiaTheme="minorEastAsia" w:cstheme="minorEastAsia"/>
          <w:sz w:val="28"/>
          <w:szCs w:val="28"/>
          <w:u w:val="single"/>
        </w:rPr>
        <w:t xml:space="preserve"> </w:t>
      </w:r>
      <w:bookmarkEnd w:id="2"/>
      <w:r>
        <w:rPr>
          <w:rFonts w:hint="eastAsia" w:asciiTheme="minorEastAsia" w:hAnsiTheme="minorEastAsia" w:eastAsiaTheme="minorEastAsia" w:cstheme="minorEastAsia"/>
          <w:sz w:val="28"/>
          <w:szCs w:val="28"/>
          <w:u w:val="single"/>
        </w:rPr>
        <w:t>”</w:t>
      </w:r>
      <w:r>
        <w:rPr>
          <w:rFonts w:hint="eastAsia" w:asciiTheme="minorEastAsia" w:hAnsiTheme="minorEastAsia" w:eastAsiaTheme="minorEastAsia" w:cstheme="minorEastAsia"/>
          <w:sz w:val="28"/>
          <w:szCs w:val="28"/>
        </w:rPr>
        <w:t>进行招标采购，我公司本着公平、公正、公开的原则，邀请具有相关资质及履约能力的公司参加投标，具体事项如下：</w:t>
      </w:r>
    </w:p>
    <w:p>
      <w:pPr>
        <w:spacing w:line="620" w:lineRule="exact"/>
        <w:ind w:right="70"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一、招标人：山东金都电子材料有限公司</w:t>
      </w:r>
    </w:p>
    <w:p>
      <w:pPr>
        <w:spacing w:line="620" w:lineRule="exact"/>
        <w:ind w:right="70"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二、项目名称：</w:t>
      </w:r>
      <w:r>
        <w:rPr>
          <w:rFonts w:hint="eastAsia" w:asciiTheme="minorEastAsia" w:hAnsiTheme="minorEastAsia" w:eastAsiaTheme="minorEastAsia" w:cstheme="minorEastAsia"/>
          <w:spacing w:val="10"/>
          <w:sz w:val="28"/>
          <w:szCs w:val="28"/>
          <w:u w:val="single"/>
        </w:rPr>
        <w:t>金晖路厂高压及低压开关柜改造项目</w:t>
      </w:r>
      <w:r>
        <w:rPr>
          <w:rFonts w:hint="eastAsia" w:asciiTheme="minorEastAsia" w:hAnsiTheme="minorEastAsia" w:eastAsiaTheme="minorEastAsia" w:cstheme="minorEastAsia"/>
          <w:sz w:val="28"/>
          <w:szCs w:val="28"/>
          <w:u w:val="single"/>
        </w:rPr>
        <w:t xml:space="preserve"> </w:t>
      </w:r>
    </w:p>
    <w:p>
      <w:pPr>
        <w:spacing w:line="620" w:lineRule="exac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三、投标时间：</w:t>
      </w:r>
    </w:p>
    <w:p>
      <w:pPr>
        <w:spacing w:line="360" w:lineRule="auto"/>
        <w:ind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技术投标截止时间： 2025.3.20</w:t>
      </w:r>
    </w:p>
    <w:p>
      <w:pPr>
        <w:spacing w:line="360" w:lineRule="auto"/>
        <w:ind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商务投标截止时间： 2025.3.25</w:t>
      </w:r>
    </w:p>
    <w:p>
      <w:pPr>
        <w:spacing w:line="360" w:lineRule="auto"/>
        <w:ind w:right="70"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四、技术联系人： 赵金波、 李爱国</w:t>
      </w:r>
    </w:p>
    <w:p>
      <w:pPr>
        <w:tabs>
          <w:tab w:val="left" w:pos="6191"/>
        </w:tabs>
        <w:spacing w:line="360" w:lineRule="auto"/>
        <w:ind w:right="70"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联系方式： 13153532152  13356948859</w:t>
      </w:r>
      <w:r>
        <w:rPr>
          <w:rFonts w:hint="eastAsia" w:asciiTheme="minorEastAsia" w:hAnsiTheme="minorEastAsia" w:eastAsiaTheme="minorEastAsia" w:cstheme="minorEastAsia"/>
          <w:sz w:val="28"/>
          <w:szCs w:val="28"/>
        </w:rPr>
        <w:tab/>
      </w:r>
    </w:p>
    <w:p>
      <w:pPr>
        <w:spacing w:line="360" w:lineRule="auto"/>
        <w:ind w:right="70"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邮    箱：13153532152@163.com</w:t>
      </w:r>
    </w:p>
    <w:p>
      <w:pPr>
        <w:spacing w:line="620" w:lineRule="exact"/>
        <w:ind w:right="70" w:firstLine="560" w:firstLineChars="2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五、商务联系人：</w:t>
      </w:r>
      <w:r>
        <w:rPr>
          <w:rFonts w:hint="eastAsia" w:asciiTheme="minorEastAsia" w:hAnsiTheme="minorEastAsia" w:eastAsiaTheme="minorEastAsia" w:cstheme="minorEastAsia"/>
          <w:sz w:val="28"/>
          <w:szCs w:val="28"/>
          <w:lang w:val="en-US" w:eastAsia="zh-CN"/>
        </w:rPr>
        <w:t>郭松</w:t>
      </w:r>
    </w:p>
    <w:p>
      <w:pPr>
        <w:spacing w:line="620" w:lineRule="exact"/>
        <w:ind w:right="70" w:firstLine="560"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 xml:space="preserve">     联系电话：</w:t>
      </w:r>
      <w:r>
        <w:rPr>
          <w:rFonts w:hint="eastAsia" w:asciiTheme="minorEastAsia" w:hAnsiTheme="minorEastAsia" w:eastAsiaTheme="minorEastAsia" w:cstheme="minorEastAsia"/>
          <w:sz w:val="28"/>
          <w:szCs w:val="28"/>
          <w:lang w:val="en-US" w:eastAsia="zh-CN"/>
        </w:rPr>
        <w:t>0535-2701503</w:t>
      </w:r>
    </w:p>
    <w:p>
      <w:pPr>
        <w:spacing w:line="620" w:lineRule="exact"/>
        <w:ind w:right="70"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报价邮箱：jinbao</w:t>
      </w:r>
      <w:r>
        <w:rPr>
          <w:rFonts w:hint="eastAsia" w:asciiTheme="minorEastAsia" w:hAnsiTheme="minorEastAsia" w:eastAsiaTheme="minorEastAsia" w:cstheme="minorEastAsia"/>
          <w:sz w:val="28"/>
          <w:szCs w:val="28"/>
          <w:lang w:val="en-US" w:eastAsia="zh-CN"/>
        </w:rPr>
        <w:t>x</w:t>
      </w:r>
      <w:r>
        <w:rPr>
          <w:rFonts w:hint="eastAsia" w:asciiTheme="minorEastAsia" w:hAnsiTheme="minorEastAsia" w:eastAsiaTheme="minorEastAsia" w:cstheme="minorEastAsia"/>
          <w:sz w:val="28"/>
          <w:szCs w:val="28"/>
        </w:rPr>
        <w:t>b@chinajinbao.com</w:t>
      </w:r>
    </w:p>
    <w:p>
      <w:pPr>
        <w:spacing w:line="620" w:lineRule="exact"/>
        <w:ind w:right="70"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六、投标地点：山东省招远市国大路268号 </w:t>
      </w:r>
    </w:p>
    <w:p>
      <w:pPr>
        <w:spacing w:line="620" w:lineRule="exact"/>
        <w:ind w:right="70"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七、投标保证金:</w:t>
      </w:r>
      <w:r>
        <w:rPr>
          <w:rFonts w:hint="eastAsia" w:asciiTheme="minorEastAsia" w:hAnsiTheme="minorEastAsia" w:eastAsiaTheme="minorEastAsia" w:cstheme="minorEastAsia"/>
          <w:sz w:val="28"/>
          <w:szCs w:val="28"/>
          <w:lang w:val="en-US" w:eastAsia="zh-CN"/>
        </w:rPr>
        <w:t>20000</w:t>
      </w:r>
      <w:r>
        <w:rPr>
          <w:rFonts w:hint="eastAsia" w:asciiTheme="minorEastAsia" w:hAnsiTheme="minorEastAsia" w:eastAsiaTheme="minorEastAsia" w:cstheme="minorEastAsia"/>
          <w:sz w:val="28"/>
          <w:szCs w:val="28"/>
        </w:rPr>
        <w:t>元</w:t>
      </w:r>
    </w:p>
    <w:p>
      <w:pPr>
        <w:spacing w:line="620" w:lineRule="exact"/>
        <w:ind w:right="70"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请于2025年</w:t>
      </w:r>
      <w:r>
        <w:rPr>
          <w:rFonts w:hint="eastAsia" w:asciiTheme="minorEastAsia" w:hAnsiTheme="minorEastAsia" w:eastAsiaTheme="minorEastAsia" w:cstheme="minorEastAsia"/>
          <w:sz w:val="28"/>
          <w:szCs w:val="28"/>
          <w:u w:val="single"/>
        </w:rPr>
        <w:t xml:space="preserve"> 3 </w:t>
      </w:r>
      <w:r>
        <w:rPr>
          <w:rFonts w:hint="eastAsia" w:asciiTheme="minorEastAsia" w:hAnsiTheme="minorEastAsia" w:eastAsiaTheme="minorEastAsia" w:cstheme="minorEastAsia"/>
          <w:sz w:val="28"/>
          <w:szCs w:val="28"/>
        </w:rPr>
        <w:t>月</w:t>
      </w:r>
      <w:r>
        <w:rPr>
          <w:rFonts w:hint="eastAsia" w:asciiTheme="minorEastAsia" w:hAnsiTheme="minorEastAsia" w:eastAsiaTheme="minorEastAsia" w:cstheme="minorEastAsia"/>
          <w:sz w:val="28"/>
          <w:szCs w:val="28"/>
          <w:u w:val="single"/>
        </w:rPr>
        <w:t xml:space="preserve"> 2</w:t>
      </w:r>
      <w:r>
        <w:rPr>
          <w:rFonts w:hint="eastAsia" w:asciiTheme="minorEastAsia" w:hAnsiTheme="minorEastAsia" w:eastAsiaTheme="minorEastAsia" w:cstheme="minorEastAsia"/>
          <w:sz w:val="28"/>
          <w:szCs w:val="28"/>
          <w:u w:val="single"/>
          <w:lang w:val="en-US" w:eastAsia="zh-CN"/>
        </w:rPr>
        <w:t>0</w:t>
      </w:r>
      <w:r>
        <w:rPr>
          <w:rFonts w:hint="eastAsia" w:asciiTheme="minorEastAsia" w:hAnsiTheme="minorEastAsia" w:eastAsiaTheme="minorEastAsia" w:cstheme="minorEastAsia"/>
          <w:sz w:val="28"/>
          <w:szCs w:val="28"/>
        </w:rPr>
        <w:t>日前公户汇款，底单发给商务联系人。</w:t>
      </w:r>
    </w:p>
    <w:p>
      <w:pPr>
        <w:spacing w:line="620" w:lineRule="exact"/>
        <w:ind w:right="70"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汇款资料：</w:t>
      </w:r>
    </w:p>
    <w:p>
      <w:pPr>
        <w:spacing w:line="620" w:lineRule="exac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名称：山东金都电子材料有限公司</w:t>
      </w:r>
    </w:p>
    <w:p>
      <w:pPr>
        <w:ind w:firstLine="560" w:firstLineChars="200"/>
        <w:rPr>
          <w:rFonts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sz w:val="28"/>
          <w:szCs w:val="28"/>
        </w:rPr>
        <w:t>账号：</w:t>
      </w:r>
      <w:bookmarkStart w:id="3" w:name="OLE_LINK3"/>
      <w:r>
        <w:rPr>
          <w:rFonts w:hint="eastAsia" w:asciiTheme="minorEastAsia" w:hAnsiTheme="minorEastAsia" w:eastAsiaTheme="minorEastAsia" w:cstheme="minorEastAsia"/>
          <w:sz w:val="28"/>
          <w:szCs w:val="28"/>
        </w:rPr>
        <w:t>14640078801400000027</w:t>
      </w:r>
      <w:bookmarkEnd w:id="3"/>
    </w:p>
    <w:p>
      <w:pPr>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开户行：浦发银行招远支行</w:t>
      </w:r>
    </w:p>
    <w:p>
      <w:pPr>
        <w:widowControl/>
        <w:ind w:firstLine="482" w:firstLineChars="200"/>
        <w:jc w:val="left"/>
        <w:rPr>
          <w:rFonts w:asciiTheme="minorEastAsia" w:hAnsiTheme="minorEastAsia" w:eastAsiaTheme="minorEastAsia" w:cstheme="minorEastAsia"/>
          <w:b/>
          <w:bCs/>
          <w:color w:val="000000"/>
          <w:sz w:val="24"/>
        </w:rPr>
      </w:pPr>
    </w:p>
    <w:p>
      <w:pPr>
        <w:spacing w:line="620" w:lineRule="exact"/>
        <w:ind w:right="7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人未中标，投标保证金将在竞标结束后10日内无息返还。中标方的投标保证金将在签订合同后，自动转为履约保证金或10日内无息返还。中标方放弃中标权利，投标保证金将予以没收。未缴纳投标保证金的，一律视为废标。</w:t>
      </w:r>
    </w:p>
    <w:p>
      <w:pPr>
        <w:spacing w:line="620" w:lineRule="exact"/>
        <w:ind w:right="70" w:firstLine="480" w:firstLineChars="200"/>
        <w:rPr>
          <w:rFonts w:hint="eastAsia" w:asciiTheme="minorEastAsia" w:hAnsiTheme="minorEastAsia" w:eastAsiaTheme="minorEastAsia" w:cstheme="minorEastAsia"/>
          <w:sz w:val="24"/>
          <w:u w:val="single"/>
          <w:lang w:val="en-US" w:eastAsia="zh-CN"/>
        </w:rPr>
      </w:pPr>
      <w:r>
        <w:rPr>
          <w:rFonts w:hint="eastAsia" w:asciiTheme="minorEastAsia" w:hAnsiTheme="minorEastAsia" w:eastAsiaTheme="minorEastAsia" w:cstheme="minorEastAsia"/>
          <w:sz w:val="24"/>
        </w:rPr>
        <w:t>八、为保证效果，本项目需要先投技术标。确定技术方案后，再投商务标。技术投标需要将技术方案以邮件的形式发送到我公司</w:t>
      </w:r>
      <w:r>
        <w:rPr>
          <w:rFonts w:hint="eastAsia" w:asciiTheme="minorEastAsia" w:hAnsiTheme="minorEastAsia" w:eastAsiaTheme="minorEastAsia" w:cstheme="minorEastAsia"/>
          <w:sz w:val="24"/>
          <w:u w:val="single"/>
        </w:rPr>
        <w:t xml:space="preserve"> 设备部 </w:t>
      </w:r>
      <w:r>
        <w:rPr>
          <w:rFonts w:hint="eastAsia" w:asciiTheme="minorEastAsia" w:hAnsiTheme="minorEastAsia" w:eastAsiaTheme="minorEastAsia" w:cstheme="minorEastAsia"/>
          <w:sz w:val="24"/>
        </w:rPr>
        <w:t>邮箱中（联系人</w:t>
      </w:r>
      <w:r>
        <w:rPr>
          <w:rFonts w:hint="eastAsia" w:asciiTheme="minorEastAsia" w:hAnsiTheme="minorEastAsia" w:eastAsiaTheme="minorEastAsia" w:cstheme="minorEastAsia"/>
          <w:sz w:val="24"/>
          <w:u w:val="single"/>
        </w:rPr>
        <w:t>：赵金波</w:t>
      </w:r>
      <w:r>
        <w:rPr>
          <w:rFonts w:hint="eastAsia" w:asciiTheme="minorEastAsia" w:hAnsiTheme="minorEastAsia" w:eastAsiaTheme="minorEastAsia" w:cstheme="minorEastAsia"/>
          <w:sz w:val="24"/>
        </w:rPr>
        <w:t>)；商务投标将标书</w:t>
      </w:r>
      <w:r>
        <w:rPr>
          <w:rFonts w:hint="eastAsia" w:asciiTheme="minorEastAsia" w:hAnsiTheme="minorEastAsia" w:eastAsiaTheme="minorEastAsia" w:cstheme="minorEastAsia"/>
          <w:b/>
          <w:bCs/>
          <w:sz w:val="24"/>
        </w:rPr>
        <w:t>邮寄或直接</w:t>
      </w:r>
      <w:r>
        <w:rPr>
          <w:rFonts w:hint="eastAsia" w:asciiTheme="minorEastAsia" w:hAnsiTheme="minorEastAsia" w:eastAsiaTheme="minorEastAsia" w:cstheme="minorEastAsia"/>
          <w:sz w:val="24"/>
        </w:rPr>
        <w:t>送达采购部（联系人：</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u w:val="single"/>
          <w:lang w:val="en-US" w:eastAsia="zh-CN"/>
        </w:rPr>
        <w:t>郭松</w:t>
      </w:r>
      <w:r>
        <w:rPr>
          <w:rFonts w:hint="eastAsia" w:asciiTheme="minorEastAsia" w:hAnsiTheme="minorEastAsia" w:eastAsiaTheme="minorEastAsia" w:cstheme="minorEastAsia"/>
          <w:sz w:val="24"/>
        </w:rPr>
        <w:t>），邮箱</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
          <w:sz w:val="28"/>
          <w:szCs w:val="28"/>
          <w:u w:val="single"/>
        </w:rPr>
        <w:t>jinbaocg</w:t>
      </w:r>
      <w:r>
        <w:rPr>
          <w:rFonts w:hint="eastAsia" w:asciiTheme="minorEastAsia" w:hAnsiTheme="minorEastAsia" w:eastAsiaTheme="minorEastAsia" w:cstheme="minorEastAsia"/>
          <w:b/>
          <w:sz w:val="28"/>
          <w:szCs w:val="28"/>
          <w:u w:val="single"/>
          <w:lang w:val="en-US" w:eastAsia="zh-CN"/>
        </w:rPr>
        <w:t>xb</w:t>
      </w:r>
      <w:r>
        <w:rPr>
          <w:rFonts w:hint="eastAsia" w:asciiTheme="minorEastAsia" w:hAnsiTheme="minorEastAsia" w:eastAsiaTheme="minorEastAsia" w:cstheme="minorEastAsia"/>
          <w:b/>
          <w:sz w:val="28"/>
          <w:szCs w:val="28"/>
          <w:u w:val="single"/>
        </w:rPr>
        <w:t>@chinajinbao.com</w:t>
      </w:r>
      <w:r>
        <w:rPr>
          <w:rFonts w:hint="eastAsia" w:asciiTheme="minorEastAsia" w:hAnsiTheme="minorEastAsia" w:eastAsiaTheme="minorEastAsia" w:cstheme="minorEastAsia"/>
          <w:b/>
          <w:sz w:val="28"/>
          <w:szCs w:val="28"/>
          <w:u w:val="single"/>
          <w:lang w:eastAsia="zh-CN"/>
        </w:rPr>
        <w:t>。</w:t>
      </w:r>
    </w:p>
    <w:p>
      <w:pPr>
        <w:spacing w:line="620" w:lineRule="exact"/>
        <w:ind w:right="70"/>
        <w:jc w:val="center"/>
        <w:rPr>
          <w:rFonts w:ascii="黑体" w:hAnsi="黑体" w:eastAsia="黑体" w:cs="黑体"/>
          <w:sz w:val="36"/>
          <w:szCs w:val="36"/>
        </w:rPr>
      </w:pPr>
    </w:p>
    <w:p>
      <w:pPr>
        <w:spacing w:line="620" w:lineRule="exact"/>
        <w:ind w:right="70"/>
        <w:jc w:val="center"/>
        <w:rPr>
          <w:rFonts w:ascii="宋体" w:hAnsi="宋体" w:cs="宋体"/>
          <w:b/>
          <w:bCs/>
          <w:sz w:val="28"/>
          <w:szCs w:val="28"/>
        </w:rPr>
      </w:pPr>
      <w:r>
        <w:rPr>
          <w:rFonts w:hint="eastAsia" w:ascii="宋体" w:hAnsi="宋体" w:cs="宋体"/>
          <w:b/>
          <w:bCs/>
          <w:sz w:val="28"/>
          <w:szCs w:val="28"/>
        </w:rPr>
        <w:t>第二部分   投标人须知</w:t>
      </w:r>
    </w:p>
    <w:p>
      <w:pPr>
        <w:spacing w:line="620" w:lineRule="exact"/>
        <w:ind w:right="70" w:firstLine="562" w:firstLineChars="200"/>
        <w:rPr>
          <w:rFonts w:ascii="宋体" w:hAnsi="宋体" w:cs="宋体"/>
          <w:b/>
          <w:bCs/>
          <w:sz w:val="28"/>
          <w:szCs w:val="28"/>
        </w:rPr>
      </w:pPr>
      <w:r>
        <w:rPr>
          <w:rFonts w:hint="eastAsia" w:ascii="宋体" w:hAnsi="宋体" w:cs="宋体"/>
          <w:b/>
          <w:bCs/>
          <w:sz w:val="28"/>
          <w:szCs w:val="28"/>
        </w:rPr>
        <w:t>一、投标要求</w:t>
      </w:r>
    </w:p>
    <w:p>
      <w:pPr>
        <w:spacing w:line="620" w:lineRule="exact"/>
        <w:ind w:right="70" w:firstLine="642"/>
        <w:rPr>
          <w:rFonts w:ascii="宋体" w:hAnsi="宋体" w:cs="宋体"/>
          <w:sz w:val="24"/>
        </w:rPr>
      </w:pPr>
      <w:r>
        <w:rPr>
          <w:rFonts w:hint="eastAsia" w:ascii="宋体" w:hAnsi="宋体" w:cs="宋体"/>
          <w:sz w:val="24"/>
        </w:rPr>
        <w:t>1.投标人应根据招标人提供的项目需求设计整体解决方案，制定项目配置及实施方案，进行分项报价，并提供方案说明及服务承诺。</w:t>
      </w:r>
    </w:p>
    <w:p>
      <w:pPr>
        <w:spacing w:line="620" w:lineRule="exact"/>
        <w:ind w:right="70" w:firstLine="642"/>
        <w:rPr>
          <w:rFonts w:ascii="宋体" w:hAnsi="宋体" w:cs="宋体"/>
          <w:sz w:val="24"/>
        </w:rPr>
      </w:pPr>
      <w:r>
        <w:rPr>
          <w:rFonts w:hint="eastAsia" w:ascii="宋体" w:hAnsi="宋体" w:cs="宋体"/>
          <w:sz w:val="24"/>
        </w:rPr>
        <w:t>2.投标人应按照招标文件的要求提供完整、准确的投标文件，保证所指定的解决方案满足招标人所提出的项目全部要求，并对所有资料的真实性承担法律责任。</w:t>
      </w:r>
    </w:p>
    <w:p>
      <w:pPr>
        <w:spacing w:line="620" w:lineRule="exact"/>
        <w:ind w:right="70" w:firstLine="642"/>
        <w:rPr>
          <w:rFonts w:ascii="宋体" w:hAnsi="宋体" w:cs="宋体"/>
          <w:sz w:val="24"/>
        </w:rPr>
      </w:pPr>
      <w:r>
        <w:rPr>
          <w:rFonts w:hint="eastAsia" w:ascii="宋体" w:hAnsi="宋体" w:cs="宋体"/>
          <w:sz w:val="24"/>
        </w:rPr>
        <w:t>3.招标人保留与投标人的报价进行商务谈判的权利，同时保留对投标人的客户进行咨询、访问（不涉及商业机密内容）的权利。</w:t>
      </w:r>
    </w:p>
    <w:p>
      <w:pPr>
        <w:spacing w:line="620" w:lineRule="exact"/>
        <w:ind w:right="70" w:firstLine="642"/>
        <w:rPr>
          <w:rFonts w:ascii="宋体" w:hAnsi="宋体" w:cs="宋体"/>
          <w:sz w:val="24"/>
        </w:rPr>
      </w:pPr>
      <w:r>
        <w:rPr>
          <w:rFonts w:hint="eastAsia" w:ascii="宋体" w:hAnsi="宋体" w:cs="宋体"/>
          <w:sz w:val="24"/>
        </w:rPr>
        <w:t>4.在参与本次招标过程中出现以下情况或行为，将取消其投标资格且不予返还投标保证金：</w:t>
      </w:r>
    </w:p>
    <w:p>
      <w:pPr>
        <w:spacing w:line="620" w:lineRule="exact"/>
        <w:ind w:right="70" w:firstLine="642"/>
        <w:rPr>
          <w:rFonts w:ascii="宋体" w:hAnsi="宋体" w:cs="宋体"/>
          <w:sz w:val="24"/>
        </w:rPr>
      </w:pPr>
      <w:r>
        <w:rPr>
          <w:rFonts w:hint="eastAsia" w:ascii="宋体" w:hAnsi="宋体" w:cs="宋体"/>
          <w:sz w:val="24"/>
        </w:rPr>
        <w:t>①采取弄虚作假的方式，提供虚假的信息或资料；</w:t>
      </w:r>
    </w:p>
    <w:p>
      <w:pPr>
        <w:spacing w:line="620" w:lineRule="exact"/>
        <w:ind w:right="70" w:firstLine="642"/>
        <w:rPr>
          <w:rFonts w:ascii="宋体" w:hAnsi="宋体" w:cs="宋体"/>
          <w:sz w:val="24"/>
        </w:rPr>
      </w:pPr>
      <w:r>
        <w:rPr>
          <w:rFonts w:hint="eastAsia" w:ascii="宋体" w:hAnsi="宋体" w:cs="宋体"/>
          <w:sz w:val="24"/>
        </w:rPr>
        <w:t>②存在不正当竞争，如：串标、陪标现象；</w:t>
      </w:r>
    </w:p>
    <w:p>
      <w:pPr>
        <w:spacing w:line="620" w:lineRule="exact"/>
        <w:ind w:right="70" w:firstLine="642"/>
        <w:rPr>
          <w:rFonts w:ascii="宋体" w:hAnsi="宋体" w:cs="宋体"/>
          <w:sz w:val="24"/>
        </w:rPr>
      </w:pPr>
      <w:r>
        <w:rPr>
          <w:rFonts w:hint="eastAsia" w:ascii="宋体" w:hAnsi="宋体" w:cs="宋体"/>
          <w:sz w:val="24"/>
        </w:rPr>
        <w:t>③存在贿赂、威胁、利诱等行为，妄图影响招标的真实性、公正性；（该行为将被记录在案，永久性取消投标资格。）</w:t>
      </w:r>
    </w:p>
    <w:p>
      <w:pPr>
        <w:spacing w:line="620" w:lineRule="exact"/>
        <w:ind w:right="70" w:firstLine="562" w:firstLineChars="200"/>
        <w:rPr>
          <w:rFonts w:ascii="宋体" w:hAnsi="宋体" w:cs="宋体"/>
          <w:b/>
          <w:bCs/>
          <w:sz w:val="28"/>
          <w:szCs w:val="28"/>
        </w:rPr>
      </w:pPr>
      <w:r>
        <w:rPr>
          <w:rFonts w:hint="eastAsia" w:ascii="宋体" w:hAnsi="宋体" w:cs="宋体"/>
          <w:b/>
          <w:bCs/>
          <w:sz w:val="28"/>
          <w:szCs w:val="28"/>
        </w:rPr>
        <w:t>二.投标无效</w:t>
      </w:r>
    </w:p>
    <w:p>
      <w:pPr>
        <w:spacing w:line="620" w:lineRule="exact"/>
        <w:ind w:right="70" w:firstLine="642"/>
        <w:rPr>
          <w:rFonts w:ascii="宋体" w:hAnsi="宋体" w:cs="宋体"/>
          <w:sz w:val="24"/>
        </w:rPr>
      </w:pPr>
      <w:r>
        <w:rPr>
          <w:rFonts w:hint="eastAsia" w:ascii="宋体" w:hAnsi="宋体" w:cs="宋体"/>
          <w:sz w:val="24"/>
        </w:rPr>
        <w:t>有以下情形的投标文件，视为无效：</w:t>
      </w:r>
    </w:p>
    <w:p>
      <w:pPr>
        <w:spacing w:line="620" w:lineRule="exact"/>
        <w:ind w:right="70" w:firstLine="480" w:firstLineChars="200"/>
        <w:rPr>
          <w:rFonts w:ascii="宋体" w:hAnsi="宋体" w:cs="宋体"/>
          <w:sz w:val="24"/>
        </w:rPr>
      </w:pPr>
      <w:r>
        <w:rPr>
          <w:rFonts w:hint="eastAsia" w:ascii="宋体" w:hAnsi="宋体" w:cs="宋体"/>
          <w:sz w:val="24"/>
        </w:rPr>
        <w:t>1.逾期未送达投标文件的；</w:t>
      </w:r>
    </w:p>
    <w:p>
      <w:pPr>
        <w:spacing w:line="620" w:lineRule="exact"/>
        <w:ind w:right="70" w:firstLine="480" w:firstLineChars="200"/>
        <w:rPr>
          <w:rFonts w:ascii="宋体" w:hAnsi="宋体" w:cs="宋体"/>
          <w:sz w:val="24"/>
        </w:rPr>
      </w:pPr>
      <w:r>
        <w:rPr>
          <w:rFonts w:hint="eastAsia" w:ascii="宋体" w:hAnsi="宋体" w:cs="宋体"/>
          <w:sz w:val="24"/>
        </w:rPr>
        <w:t>2.未按规定递交密封投标文件的；</w:t>
      </w:r>
    </w:p>
    <w:p>
      <w:pPr>
        <w:spacing w:line="620" w:lineRule="exact"/>
        <w:ind w:right="70" w:firstLine="480" w:firstLineChars="200"/>
        <w:rPr>
          <w:rFonts w:ascii="宋体" w:hAnsi="宋体" w:cs="宋体"/>
          <w:sz w:val="24"/>
        </w:rPr>
      </w:pPr>
      <w:r>
        <w:rPr>
          <w:rFonts w:hint="eastAsia" w:ascii="宋体" w:hAnsi="宋体" w:cs="宋体"/>
          <w:sz w:val="24"/>
        </w:rPr>
        <w:t>3.投标文件的编制、内容与招标文件存在明显差异或不符的；</w:t>
      </w:r>
    </w:p>
    <w:p>
      <w:pPr>
        <w:spacing w:line="620" w:lineRule="exact"/>
        <w:ind w:right="70" w:firstLine="480" w:firstLineChars="200"/>
        <w:rPr>
          <w:rFonts w:ascii="宋体" w:hAnsi="宋体" w:cs="宋体"/>
          <w:sz w:val="24"/>
        </w:rPr>
      </w:pPr>
      <w:r>
        <w:rPr>
          <w:rFonts w:hint="eastAsia" w:ascii="宋体" w:hAnsi="宋体" w:cs="宋体"/>
          <w:sz w:val="24"/>
        </w:rPr>
        <w:t>4.未加盖公章或无授权委托书的；</w:t>
      </w:r>
    </w:p>
    <w:p>
      <w:pPr>
        <w:spacing w:line="620" w:lineRule="exact"/>
        <w:ind w:right="70" w:firstLine="562" w:firstLineChars="200"/>
        <w:rPr>
          <w:rFonts w:ascii="宋体" w:hAnsi="宋体" w:cs="宋体"/>
          <w:b/>
          <w:bCs/>
          <w:sz w:val="28"/>
          <w:szCs w:val="28"/>
        </w:rPr>
      </w:pPr>
      <w:r>
        <w:rPr>
          <w:rFonts w:hint="eastAsia" w:ascii="宋体" w:hAnsi="宋体" w:cs="宋体"/>
          <w:b/>
          <w:bCs/>
          <w:sz w:val="28"/>
          <w:szCs w:val="28"/>
        </w:rPr>
        <w:t>三、投标文件的构成</w:t>
      </w:r>
    </w:p>
    <w:p>
      <w:pPr>
        <w:spacing w:line="620" w:lineRule="exact"/>
        <w:ind w:right="70" w:firstLine="642"/>
        <w:rPr>
          <w:rFonts w:ascii="宋体" w:hAnsi="宋体" w:cs="宋体"/>
          <w:sz w:val="24"/>
        </w:rPr>
      </w:pPr>
      <w:r>
        <w:rPr>
          <w:rFonts w:hint="eastAsia" w:ascii="宋体" w:hAnsi="宋体" w:cs="宋体"/>
          <w:sz w:val="24"/>
        </w:rPr>
        <w:t>1.资质文件；</w:t>
      </w:r>
    </w:p>
    <w:p>
      <w:pPr>
        <w:spacing w:line="620" w:lineRule="exact"/>
        <w:ind w:right="70" w:firstLine="642"/>
        <w:rPr>
          <w:rFonts w:ascii="宋体" w:hAnsi="宋体" w:cs="宋体"/>
          <w:sz w:val="24"/>
        </w:rPr>
      </w:pPr>
      <w:r>
        <w:rPr>
          <w:rFonts w:hint="eastAsia" w:ascii="宋体" w:hAnsi="宋体" w:cs="宋体"/>
          <w:sz w:val="24"/>
        </w:rPr>
        <w:t>①营业执照</w:t>
      </w:r>
    </w:p>
    <w:p>
      <w:pPr>
        <w:spacing w:line="620" w:lineRule="exact"/>
        <w:ind w:right="70" w:firstLine="642"/>
        <w:rPr>
          <w:rFonts w:ascii="宋体" w:hAnsi="宋体" w:cs="宋体"/>
          <w:sz w:val="24"/>
        </w:rPr>
      </w:pPr>
      <w:r>
        <w:rPr>
          <w:rFonts w:hint="eastAsia" w:ascii="宋体" w:hAnsi="宋体" w:cs="宋体"/>
          <w:sz w:val="24"/>
        </w:rPr>
        <w:t>②授权委托书</w:t>
      </w:r>
    </w:p>
    <w:p>
      <w:pPr>
        <w:spacing w:line="620" w:lineRule="exact"/>
        <w:ind w:right="70" w:firstLine="642"/>
        <w:rPr>
          <w:rFonts w:ascii="宋体" w:hAnsi="宋体" w:cs="宋体"/>
          <w:sz w:val="24"/>
        </w:rPr>
      </w:pPr>
      <w:r>
        <w:rPr>
          <w:rFonts w:hint="eastAsia" w:ascii="宋体" w:hAnsi="宋体" w:cs="宋体"/>
          <w:sz w:val="24"/>
        </w:rPr>
        <w:t>③企业资质及行业认证文件资料</w:t>
      </w:r>
    </w:p>
    <w:p>
      <w:pPr>
        <w:spacing w:line="620" w:lineRule="exact"/>
        <w:ind w:right="70" w:firstLine="642"/>
        <w:rPr>
          <w:rFonts w:ascii="宋体" w:hAnsi="宋体" w:cs="宋体"/>
          <w:sz w:val="24"/>
        </w:rPr>
      </w:pPr>
      <w:r>
        <w:rPr>
          <w:rFonts w:hint="eastAsia" w:ascii="宋体" w:hAnsi="宋体" w:cs="宋体"/>
          <w:sz w:val="24"/>
        </w:rPr>
        <w:t>④产品专利</w:t>
      </w:r>
    </w:p>
    <w:p>
      <w:pPr>
        <w:spacing w:line="620" w:lineRule="exact"/>
        <w:ind w:right="70" w:firstLine="480" w:firstLineChars="200"/>
        <w:rPr>
          <w:rFonts w:ascii="宋体" w:hAnsi="宋体" w:cs="宋体"/>
          <w:sz w:val="24"/>
        </w:rPr>
      </w:pPr>
      <w:r>
        <w:rPr>
          <w:rFonts w:hint="eastAsia" w:ascii="宋体" w:hAnsi="宋体" w:cs="宋体"/>
          <w:sz w:val="24"/>
        </w:rPr>
        <w:t>2.项目</w:t>
      </w:r>
      <w:r>
        <w:rPr>
          <w:rFonts w:hint="eastAsia" w:ascii="宋体" w:hAnsi="宋体" w:cs="宋体"/>
          <w:bCs/>
          <w:sz w:val="24"/>
        </w:rPr>
        <w:t>实施案例</w:t>
      </w:r>
      <w:r>
        <w:rPr>
          <w:rFonts w:hint="eastAsia" w:ascii="宋体" w:hAnsi="宋体" w:cs="宋体"/>
          <w:sz w:val="24"/>
        </w:rPr>
        <w:t>及相关资料；</w:t>
      </w:r>
    </w:p>
    <w:p>
      <w:pPr>
        <w:spacing w:line="620" w:lineRule="exact"/>
        <w:ind w:right="70" w:firstLine="480" w:firstLineChars="200"/>
        <w:rPr>
          <w:rFonts w:ascii="宋体" w:hAnsi="宋体" w:cs="宋体"/>
          <w:sz w:val="24"/>
        </w:rPr>
      </w:pPr>
      <w:r>
        <w:rPr>
          <w:rFonts w:hint="eastAsia" w:ascii="宋体" w:hAnsi="宋体" w:cs="宋体"/>
          <w:sz w:val="24"/>
        </w:rPr>
        <w:t>3.项目方案</w:t>
      </w:r>
    </w:p>
    <w:p>
      <w:pPr>
        <w:spacing w:line="620" w:lineRule="exact"/>
        <w:ind w:right="70" w:firstLine="642"/>
        <w:rPr>
          <w:rFonts w:ascii="宋体" w:hAnsi="宋体" w:cs="宋体"/>
          <w:sz w:val="24"/>
        </w:rPr>
      </w:pPr>
      <w:r>
        <w:rPr>
          <w:rFonts w:hint="eastAsia" w:ascii="宋体" w:hAnsi="宋体" w:cs="宋体"/>
          <w:sz w:val="24"/>
        </w:rPr>
        <w:t>①设备设施配置图纸、清单及详细资料</w:t>
      </w:r>
    </w:p>
    <w:p>
      <w:pPr>
        <w:spacing w:line="620" w:lineRule="exact"/>
        <w:ind w:right="70" w:firstLine="642"/>
        <w:rPr>
          <w:rFonts w:ascii="宋体" w:hAnsi="宋体" w:cs="宋体"/>
          <w:sz w:val="24"/>
        </w:rPr>
      </w:pPr>
      <w:r>
        <w:rPr>
          <w:rFonts w:hint="eastAsia" w:ascii="宋体" w:hAnsi="宋体" w:cs="宋体"/>
          <w:sz w:val="24"/>
        </w:rPr>
        <w:t>②《项目解决方案及服务内容》</w:t>
      </w:r>
    </w:p>
    <w:p>
      <w:pPr>
        <w:spacing w:line="620" w:lineRule="exact"/>
        <w:ind w:right="70" w:firstLine="642"/>
        <w:rPr>
          <w:rFonts w:ascii="宋体" w:hAnsi="宋体" w:cs="宋体"/>
          <w:sz w:val="24"/>
        </w:rPr>
      </w:pPr>
      <w:r>
        <w:rPr>
          <w:rFonts w:hint="eastAsia" w:ascii="宋体" w:hAnsi="宋体" w:cs="宋体"/>
          <w:sz w:val="24"/>
        </w:rPr>
        <w:t>③项目设计及实施方案，必须包括水、电、汽、化学药剂等运行费用介绍</w:t>
      </w:r>
    </w:p>
    <w:p>
      <w:pPr>
        <w:spacing w:line="620" w:lineRule="exact"/>
        <w:ind w:right="70" w:firstLine="642"/>
        <w:rPr>
          <w:rFonts w:ascii="宋体" w:hAnsi="宋体" w:cs="宋体"/>
          <w:sz w:val="24"/>
        </w:rPr>
      </w:pPr>
      <w:r>
        <w:rPr>
          <w:rFonts w:hint="eastAsia" w:ascii="宋体" w:hAnsi="宋体" w:cs="宋体"/>
          <w:sz w:val="24"/>
        </w:rPr>
        <w:t>④项目实施进度计划及人员安排</w:t>
      </w:r>
    </w:p>
    <w:p>
      <w:pPr>
        <w:spacing w:line="620" w:lineRule="exact"/>
        <w:ind w:right="70" w:firstLine="642"/>
        <w:rPr>
          <w:rFonts w:ascii="宋体" w:hAnsi="宋体" w:cs="宋体"/>
          <w:sz w:val="24"/>
        </w:rPr>
      </w:pPr>
      <w:r>
        <w:rPr>
          <w:rFonts w:hint="eastAsia" w:ascii="宋体" w:hAnsi="宋体" w:cs="宋体"/>
          <w:sz w:val="24"/>
        </w:rPr>
        <w:t>⑤售后服务方案</w:t>
      </w:r>
    </w:p>
    <w:p>
      <w:pPr>
        <w:spacing w:line="620" w:lineRule="exact"/>
        <w:ind w:right="70" w:firstLine="642"/>
        <w:rPr>
          <w:rFonts w:ascii="宋体" w:hAnsi="宋体" w:cs="宋体"/>
          <w:sz w:val="24"/>
        </w:rPr>
      </w:pPr>
      <w:r>
        <w:rPr>
          <w:rFonts w:hint="eastAsia" w:ascii="宋体" w:hAnsi="宋体" w:cs="宋体"/>
          <w:sz w:val="24"/>
        </w:rPr>
        <w:t>4.报价</w:t>
      </w:r>
    </w:p>
    <w:p>
      <w:pPr>
        <w:spacing w:line="620" w:lineRule="exact"/>
        <w:ind w:right="70" w:firstLine="642"/>
        <w:rPr>
          <w:rFonts w:ascii="宋体" w:hAnsi="宋体" w:cs="宋体"/>
          <w:sz w:val="24"/>
        </w:rPr>
      </w:pPr>
      <w:r>
        <w:rPr>
          <w:rFonts w:hint="eastAsia" w:ascii="宋体" w:hAnsi="宋体" w:cs="宋体"/>
          <w:sz w:val="24"/>
        </w:rPr>
        <w:t>提交《项目主要设备配置报价》，包括但不限于品牌、规格、数量或工程量、单价、材质、增值税税费等。</w:t>
      </w:r>
    </w:p>
    <w:p>
      <w:pPr>
        <w:spacing w:line="620" w:lineRule="exact"/>
        <w:ind w:firstLine="480" w:firstLineChars="200"/>
        <w:rPr>
          <w:rFonts w:ascii="宋体" w:hAnsi="宋体" w:cs="宋体"/>
          <w:sz w:val="24"/>
        </w:rPr>
      </w:pPr>
      <w:r>
        <w:rPr>
          <w:rFonts w:hint="eastAsia" w:ascii="宋体" w:hAnsi="宋体" w:cs="宋体"/>
          <w:sz w:val="24"/>
        </w:rPr>
        <w:t>5.提交在同行业中施工业绩表，包含单位名称、施工内容、联系人及电话。</w:t>
      </w:r>
    </w:p>
    <w:p>
      <w:pPr>
        <w:spacing w:line="620" w:lineRule="exact"/>
        <w:ind w:firstLine="480" w:firstLineChars="200"/>
        <w:rPr>
          <w:rFonts w:ascii="宋体" w:hAnsi="宋体" w:cs="宋体"/>
          <w:sz w:val="24"/>
        </w:rPr>
      </w:pPr>
      <w:r>
        <w:rPr>
          <w:rFonts w:hint="eastAsia" w:ascii="宋体" w:hAnsi="宋体" w:cs="宋体"/>
          <w:sz w:val="24"/>
        </w:rPr>
        <w:t>6.标书要求</w:t>
      </w:r>
    </w:p>
    <w:p>
      <w:pPr>
        <w:spacing w:line="620" w:lineRule="exact"/>
        <w:ind w:firstLine="480" w:firstLineChars="200"/>
        <w:rPr>
          <w:rFonts w:ascii="宋体" w:hAnsi="宋体" w:cs="宋体"/>
          <w:sz w:val="24"/>
        </w:rPr>
      </w:pPr>
      <w:r>
        <w:rPr>
          <w:rFonts w:hint="eastAsia" w:ascii="宋体" w:hAnsi="宋体" w:cs="宋体"/>
          <w:sz w:val="24"/>
        </w:rPr>
        <w:t>本招标项目要求投标者根据上述要求，将有关资料整理做成标书</w:t>
      </w:r>
    </w:p>
    <w:p>
      <w:pPr>
        <w:spacing w:line="620" w:lineRule="exact"/>
        <w:ind w:right="70" w:firstLine="562" w:firstLineChars="200"/>
        <w:rPr>
          <w:rFonts w:ascii="宋体" w:hAnsi="宋体" w:cs="宋体"/>
          <w:b/>
          <w:bCs/>
          <w:sz w:val="28"/>
          <w:szCs w:val="28"/>
        </w:rPr>
      </w:pPr>
      <w:r>
        <w:rPr>
          <w:rFonts w:hint="eastAsia" w:ascii="宋体" w:hAnsi="宋体" w:cs="宋体"/>
          <w:b/>
          <w:bCs/>
          <w:sz w:val="28"/>
          <w:szCs w:val="28"/>
        </w:rPr>
        <w:t>四、保密</w:t>
      </w:r>
    </w:p>
    <w:p>
      <w:pPr>
        <w:spacing w:line="620" w:lineRule="exact"/>
        <w:ind w:right="70" w:firstLine="642"/>
        <w:rPr>
          <w:rFonts w:ascii="宋体" w:hAnsi="宋体" w:cs="宋体"/>
          <w:sz w:val="24"/>
        </w:rPr>
      </w:pPr>
      <w:r>
        <w:rPr>
          <w:rFonts w:hint="eastAsia" w:ascii="宋体" w:hAnsi="宋体" w:cs="宋体"/>
          <w:sz w:val="24"/>
        </w:rPr>
        <w:t>招标人提供的招标文件及涉及的所有资料，投标人不得向第三方透露。给招标人造成损失的，将依法追究法律责任。</w:t>
      </w:r>
    </w:p>
    <w:p>
      <w:pPr>
        <w:spacing w:line="620" w:lineRule="exact"/>
        <w:ind w:right="70"/>
        <w:jc w:val="center"/>
        <w:rPr>
          <w:rFonts w:ascii="宋体" w:hAnsi="宋体" w:cs="宋体"/>
          <w:b/>
          <w:bCs/>
          <w:sz w:val="28"/>
          <w:szCs w:val="28"/>
        </w:rPr>
      </w:pPr>
      <w:r>
        <w:rPr>
          <w:rFonts w:hint="eastAsia" w:ascii="宋体" w:hAnsi="宋体" w:cs="宋体"/>
          <w:sz w:val="28"/>
          <w:szCs w:val="28"/>
        </w:rPr>
        <w:t xml:space="preserve">    </w:t>
      </w:r>
    </w:p>
    <w:p>
      <w:pPr>
        <w:spacing w:line="620" w:lineRule="exact"/>
        <w:ind w:right="70"/>
        <w:jc w:val="center"/>
        <w:rPr>
          <w:rFonts w:ascii="宋体" w:hAnsi="宋体" w:cs="宋体"/>
          <w:b/>
          <w:bCs/>
          <w:sz w:val="28"/>
          <w:szCs w:val="28"/>
        </w:rPr>
      </w:pPr>
      <w:r>
        <w:rPr>
          <w:rFonts w:hint="eastAsia" w:ascii="宋体" w:hAnsi="宋体" w:cs="宋体"/>
          <w:b/>
          <w:bCs/>
          <w:sz w:val="28"/>
          <w:szCs w:val="28"/>
        </w:rPr>
        <w:t>第三部分  付款及工期要求</w:t>
      </w:r>
    </w:p>
    <w:p>
      <w:pPr>
        <w:spacing w:line="620" w:lineRule="exact"/>
        <w:ind w:right="70" w:firstLine="562" w:firstLineChars="200"/>
        <w:rPr>
          <w:rFonts w:ascii="宋体" w:hAnsi="宋体" w:cs="宋体"/>
          <w:b/>
          <w:bCs/>
          <w:sz w:val="28"/>
          <w:szCs w:val="28"/>
        </w:rPr>
      </w:pPr>
      <w:r>
        <w:rPr>
          <w:rFonts w:hint="eastAsia" w:ascii="宋体" w:hAnsi="宋体" w:cs="宋体"/>
          <w:b/>
          <w:bCs/>
          <w:sz w:val="28"/>
          <w:szCs w:val="28"/>
        </w:rPr>
        <w:t>一、付款要求</w:t>
      </w:r>
    </w:p>
    <w:p>
      <w:pPr>
        <w:spacing w:line="620" w:lineRule="exact"/>
        <w:ind w:right="70" w:firstLine="480" w:firstLineChars="200"/>
        <w:rPr>
          <w:rFonts w:ascii="宋体" w:hAnsi="宋体" w:cs="宋体"/>
          <w:sz w:val="24"/>
          <w:shd w:val="clear" w:color="FFFFFF" w:fill="D9D9D9"/>
        </w:rPr>
      </w:pPr>
      <w:r>
        <w:rPr>
          <w:rFonts w:hint="eastAsia" w:ascii="宋体" w:hAnsi="宋体" w:cs="宋体"/>
          <w:sz w:val="24"/>
        </w:rPr>
        <w:t>1.付款形式：</w:t>
      </w:r>
      <w:r>
        <w:rPr>
          <w:rFonts w:hint="eastAsia" w:ascii="宋体" w:hAnsi="宋体" w:cs="宋体"/>
          <w:b/>
          <w:bCs/>
          <w:color w:val="00B0F0"/>
          <w:sz w:val="24"/>
          <w:shd w:val="clear" w:color="FFFFFF" w:fill="D9D9D9"/>
        </w:rPr>
        <w:t>电子承兑</w:t>
      </w:r>
    </w:p>
    <w:p>
      <w:pPr>
        <w:spacing w:line="620" w:lineRule="exact"/>
        <w:ind w:right="70" w:firstLine="480" w:firstLineChars="200"/>
        <w:rPr>
          <w:rFonts w:ascii="宋体" w:hAnsi="宋体" w:cs="宋体"/>
          <w:sz w:val="24"/>
        </w:rPr>
      </w:pPr>
      <w:r>
        <w:rPr>
          <w:rFonts w:hint="eastAsia" w:ascii="宋体" w:hAnsi="宋体" w:cs="宋体"/>
          <w:sz w:val="24"/>
        </w:rPr>
        <w:t>2.付款方式：</w:t>
      </w:r>
    </w:p>
    <w:p>
      <w:pPr>
        <w:spacing w:line="620" w:lineRule="exact"/>
        <w:ind w:right="70" w:firstLine="480" w:firstLineChars="200"/>
        <w:rPr>
          <w:rFonts w:ascii="宋体" w:hAnsi="宋体" w:cs="宋体"/>
          <w:sz w:val="24"/>
        </w:rPr>
      </w:pPr>
      <w:r>
        <w:rPr>
          <w:rFonts w:hint="eastAsia" w:ascii="宋体" w:hAnsi="宋体" w:cs="宋体"/>
          <w:sz w:val="24"/>
        </w:rPr>
        <w:t>方式一：①到货款40%；②安装完成款20%；③验收合格款30%；④质保金10%（按装完成验收合格一年后付清）</w:t>
      </w:r>
    </w:p>
    <w:p>
      <w:pPr>
        <w:spacing w:line="620" w:lineRule="exact"/>
        <w:ind w:right="70" w:firstLine="480" w:firstLineChars="200"/>
        <w:rPr>
          <w:rFonts w:ascii="宋体" w:hAnsi="宋体" w:cs="宋体"/>
          <w:sz w:val="24"/>
        </w:rPr>
      </w:pPr>
      <w:r>
        <w:rPr>
          <w:rFonts w:hint="eastAsia" w:ascii="宋体" w:hAnsi="宋体" w:cs="宋体"/>
          <w:sz w:val="24"/>
        </w:rPr>
        <w:t>方式二：①预付款30%；②安装完成款30%；③验收合格款30%；④质保金10%（按装完成验收合格一年后付清）</w:t>
      </w:r>
    </w:p>
    <w:p>
      <w:pPr>
        <w:spacing w:line="620" w:lineRule="exact"/>
        <w:ind w:right="70" w:firstLine="480" w:firstLineChars="200"/>
        <w:rPr>
          <w:rFonts w:ascii="宋体" w:hAnsi="宋体" w:cs="宋体"/>
          <w:sz w:val="24"/>
        </w:rPr>
      </w:pPr>
      <w:r>
        <w:rPr>
          <w:rFonts w:hint="eastAsia" w:ascii="宋体" w:hAnsi="宋体" w:cs="宋体"/>
          <w:sz w:val="24"/>
        </w:rPr>
        <w:t>预付款，需开具同等金额银行履约保函后才能付款。</w:t>
      </w:r>
    </w:p>
    <w:p>
      <w:pPr>
        <w:spacing w:line="620" w:lineRule="exact"/>
        <w:ind w:right="70" w:firstLine="480" w:firstLineChars="200"/>
        <w:rPr>
          <w:rFonts w:ascii="宋体" w:hAnsi="宋体" w:cs="宋体"/>
          <w:sz w:val="24"/>
        </w:rPr>
      </w:pPr>
      <w:r>
        <w:rPr>
          <w:rFonts w:hint="eastAsia" w:ascii="宋体" w:hAnsi="宋体" w:cs="宋体"/>
          <w:sz w:val="24"/>
        </w:rPr>
        <w:t>方式三：比上述两者更优越的付款条件。</w:t>
      </w:r>
    </w:p>
    <w:p>
      <w:pPr>
        <w:spacing w:line="620" w:lineRule="exact"/>
        <w:ind w:right="70" w:firstLine="562" w:firstLineChars="200"/>
        <w:rPr>
          <w:rFonts w:ascii="宋体" w:hAnsi="宋体" w:cs="宋体"/>
          <w:b/>
          <w:bCs/>
          <w:sz w:val="28"/>
          <w:szCs w:val="28"/>
        </w:rPr>
      </w:pPr>
      <w:r>
        <w:rPr>
          <w:rFonts w:hint="eastAsia" w:ascii="宋体" w:hAnsi="宋体" w:cs="宋体"/>
          <w:b/>
          <w:bCs/>
          <w:sz w:val="28"/>
          <w:szCs w:val="28"/>
        </w:rPr>
        <w:t>二、工期要求</w:t>
      </w:r>
    </w:p>
    <w:p>
      <w:pPr>
        <w:pStyle w:val="32"/>
        <w:spacing w:line="620" w:lineRule="exact"/>
        <w:ind w:left="642" w:right="70" w:firstLine="0" w:firstLineChars="0"/>
        <w:rPr>
          <w:rFonts w:ascii="宋体" w:hAnsi="宋体" w:cs="宋体"/>
          <w:sz w:val="24"/>
          <w:shd w:val="clear" w:color="FFFFFF" w:fill="D9D9D9"/>
        </w:rPr>
      </w:pPr>
      <w:r>
        <w:rPr>
          <w:rFonts w:hint="eastAsia" w:ascii="宋体" w:hAnsi="宋体" w:cs="宋体"/>
          <w:sz w:val="24"/>
        </w:rPr>
        <w:t>1.交货日期：</w:t>
      </w:r>
      <w:r>
        <w:rPr>
          <w:rFonts w:hint="eastAsia" w:ascii="宋体" w:hAnsi="宋体" w:cs="宋体"/>
          <w:sz w:val="24"/>
          <w:shd w:val="clear" w:color="FFFFFF" w:fill="D9D9D9"/>
        </w:rPr>
        <w:t>2025.4.30日</w:t>
      </w:r>
    </w:p>
    <w:p>
      <w:pPr>
        <w:pStyle w:val="32"/>
        <w:spacing w:line="620" w:lineRule="exact"/>
        <w:ind w:left="642" w:right="70" w:firstLine="0" w:firstLineChars="0"/>
        <w:rPr>
          <w:rFonts w:ascii="宋体" w:hAnsi="宋体" w:cs="宋体"/>
          <w:sz w:val="24"/>
        </w:rPr>
      </w:pPr>
      <w:r>
        <w:rPr>
          <w:rFonts w:hint="eastAsia" w:ascii="宋体" w:hAnsi="宋体" w:cs="宋体"/>
          <w:sz w:val="24"/>
        </w:rPr>
        <w:t>2.交货地点：招远市金晖路229号。</w:t>
      </w:r>
    </w:p>
    <w:p>
      <w:pPr>
        <w:pStyle w:val="32"/>
        <w:spacing w:line="620" w:lineRule="exact"/>
        <w:ind w:left="642" w:right="70" w:firstLine="0" w:firstLineChars="0"/>
        <w:rPr>
          <w:rFonts w:hint="eastAsia" w:ascii="宋体" w:hAnsi="宋体" w:eastAsia="宋体" w:cs="宋体"/>
          <w:sz w:val="24"/>
          <w:lang w:val="en-US" w:eastAsia="zh-CN"/>
        </w:rPr>
      </w:pPr>
      <w:r>
        <w:rPr>
          <w:rFonts w:hint="eastAsia" w:ascii="宋体" w:hAnsi="宋体" w:cs="宋体"/>
          <w:sz w:val="24"/>
        </w:rPr>
        <w:t>三、投标方需现场查看</w:t>
      </w:r>
      <w:r>
        <w:rPr>
          <w:rFonts w:hint="eastAsia" w:ascii="宋体" w:hAnsi="宋体" w:cs="宋体"/>
          <w:sz w:val="24"/>
          <w:lang w:val="en-US" w:eastAsia="zh-CN"/>
        </w:rPr>
        <w:t>,并与招标方相关人员进行沟通了解改造实际情况。</w:t>
      </w:r>
    </w:p>
    <w:p>
      <w:pPr>
        <w:spacing w:line="620" w:lineRule="exact"/>
        <w:ind w:right="70"/>
        <w:rPr>
          <w:rFonts w:ascii="宋体" w:hAnsi="宋体" w:cs="宋体"/>
          <w:b/>
          <w:bCs/>
          <w:sz w:val="28"/>
          <w:szCs w:val="28"/>
        </w:rPr>
      </w:pPr>
    </w:p>
    <w:p>
      <w:pPr>
        <w:numPr>
          <w:ilvl w:val="0"/>
          <w:numId w:val="2"/>
        </w:numPr>
        <w:spacing w:line="620" w:lineRule="exact"/>
        <w:ind w:right="70"/>
        <w:jc w:val="center"/>
        <w:rPr>
          <w:rFonts w:ascii="宋体" w:hAnsi="宋体" w:cs="宋体"/>
          <w:b/>
          <w:bCs/>
          <w:sz w:val="28"/>
          <w:szCs w:val="28"/>
        </w:rPr>
      </w:pPr>
      <w:r>
        <w:rPr>
          <w:rFonts w:hint="eastAsia" w:ascii="宋体" w:hAnsi="宋体" w:cs="宋体"/>
          <w:b/>
          <w:bCs/>
          <w:sz w:val="28"/>
          <w:szCs w:val="28"/>
        </w:rPr>
        <w:t xml:space="preserve">  项目说明及技术指标、要求</w:t>
      </w:r>
    </w:p>
    <w:p>
      <w:pPr>
        <w:spacing w:line="620" w:lineRule="exact"/>
        <w:ind w:right="70"/>
        <w:rPr>
          <w:rFonts w:ascii="宋体" w:hAnsi="宋体" w:cs="宋体"/>
          <w:b/>
          <w:bCs/>
          <w:sz w:val="28"/>
          <w:szCs w:val="28"/>
        </w:rPr>
      </w:pPr>
      <w:r>
        <w:rPr>
          <w:rFonts w:hint="eastAsia" w:ascii="宋体" w:hAnsi="宋体" w:cs="宋体"/>
          <w:b/>
          <w:bCs/>
          <w:sz w:val="28"/>
          <w:szCs w:val="28"/>
        </w:rPr>
        <w:t>一、标的描述</w:t>
      </w:r>
    </w:p>
    <w:p>
      <w:pPr>
        <w:spacing w:line="620" w:lineRule="exact"/>
        <w:ind w:right="70" w:firstLine="240" w:firstLineChars="100"/>
        <w:rPr>
          <w:rFonts w:ascii="宋体" w:hAnsi="宋体" w:cs="宋体"/>
          <w:sz w:val="24"/>
        </w:rPr>
      </w:pPr>
      <w:r>
        <w:rPr>
          <w:rFonts w:hint="eastAsia" w:ascii="宋体" w:hAnsi="宋体" w:cs="宋体"/>
          <w:sz w:val="24"/>
        </w:rPr>
        <w:t>1、项目名称：</w:t>
      </w:r>
      <w:r>
        <w:rPr>
          <w:rFonts w:hint="eastAsia" w:asciiTheme="minorEastAsia" w:hAnsiTheme="minorEastAsia" w:eastAsiaTheme="minorEastAsia" w:cstheme="minorEastAsia"/>
          <w:spacing w:val="10"/>
          <w:sz w:val="28"/>
          <w:szCs w:val="28"/>
          <w:u w:val="single"/>
        </w:rPr>
        <w:t>金晖路厂高压及低压开关柜改造项目</w:t>
      </w:r>
    </w:p>
    <w:p>
      <w:pPr>
        <w:spacing w:line="620" w:lineRule="exact"/>
        <w:ind w:right="70"/>
        <w:rPr>
          <w:rFonts w:ascii="宋体" w:hAnsi="宋体" w:cs="宋体"/>
          <w:b/>
          <w:bCs/>
          <w:sz w:val="28"/>
          <w:szCs w:val="28"/>
        </w:rPr>
      </w:pPr>
      <w:r>
        <w:rPr>
          <w:rFonts w:hint="eastAsia" w:ascii="宋体" w:hAnsi="宋体" w:cs="宋体"/>
          <w:b/>
          <w:bCs/>
          <w:sz w:val="28"/>
          <w:szCs w:val="28"/>
        </w:rPr>
        <w:t>二、工程范围：</w:t>
      </w:r>
    </w:p>
    <w:p>
      <w:pPr>
        <w:spacing w:line="360" w:lineRule="auto"/>
        <w:ind w:right="70"/>
        <w:rPr>
          <w:rFonts w:ascii="宋体" w:hAnsi="宋体" w:cs="宋体"/>
          <w:sz w:val="24"/>
        </w:rPr>
      </w:pPr>
      <w:r>
        <w:rPr>
          <w:rFonts w:hint="eastAsia" w:ascii="宋体" w:hAnsi="宋体" w:cs="宋体"/>
          <w:b/>
          <w:bCs/>
          <w:sz w:val="24"/>
        </w:rPr>
        <w:t xml:space="preserve"> </w:t>
      </w:r>
      <w:r>
        <w:rPr>
          <w:rFonts w:hint="eastAsia" w:ascii="宋体" w:hAnsi="宋体" w:cs="宋体"/>
          <w:sz w:val="24"/>
        </w:rPr>
        <w:t xml:space="preserve"> 1、永康35kv开关站进线柜及出线柜全部更换(进线柜、出线柜各一台）</w:t>
      </w:r>
    </w:p>
    <w:p>
      <w:pPr>
        <w:pStyle w:val="7"/>
        <w:ind w:firstLine="240"/>
        <w:rPr>
          <w:rFonts w:hint="eastAsia" w:ascii="宋体" w:hAnsi="宋体" w:eastAsia="宋体" w:cs="宋体"/>
          <w:szCs w:val="24"/>
          <w:lang w:eastAsia="zh-CN"/>
        </w:rPr>
      </w:pPr>
      <w:r>
        <w:rPr>
          <w:rFonts w:hint="eastAsia" w:ascii="宋体" w:hAnsi="宋体" w:cs="宋体"/>
          <w:szCs w:val="24"/>
        </w:rPr>
        <w:t>2、金晖路厂东、西区配电室低压开关（断路器52台）及母排更换</w:t>
      </w:r>
      <w:r>
        <w:rPr>
          <w:rFonts w:hint="eastAsia" w:ascii="宋体" w:hAnsi="宋体" w:cs="宋体"/>
          <w:szCs w:val="24"/>
          <w:lang w:eastAsia="zh-CN"/>
        </w:rPr>
        <w:t>、</w:t>
      </w:r>
      <w:r>
        <w:rPr>
          <w:rFonts w:hint="eastAsia" w:ascii="宋体" w:hAnsi="宋体" w:cs="宋体"/>
          <w:szCs w:val="24"/>
        </w:rPr>
        <w:t>出线侧固定式转接件</w:t>
      </w:r>
      <w:r>
        <w:rPr>
          <w:rFonts w:hint="eastAsia" w:ascii="宋体" w:hAnsi="宋体" w:cs="宋体"/>
          <w:szCs w:val="24"/>
          <w:lang w:eastAsia="zh-CN"/>
        </w:rPr>
        <w:t>、框架断路器后水平接线板更换</w:t>
      </w:r>
      <w:r>
        <w:rPr>
          <w:rFonts w:hint="eastAsia" w:ascii="宋体" w:hAnsi="宋体" w:cs="宋体"/>
          <w:szCs w:val="24"/>
        </w:rPr>
        <w:t>等</w:t>
      </w:r>
      <w:r>
        <w:rPr>
          <w:rFonts w:hint="eastAsia" w:ascii="宋体" w:hAnsi="宋体" w:cs="宋体"/>
          <w:szCs w:val="24"/>
          <w:lang w:eastAsia="zh-CN"/>
        </w:rPr>
        <w:t>。</w:t>
      </w:r>
    </w:p>
    <w:p>
      <w:pPr>
        <w:pStyle w:val="7"/>
        <w:ind w:firstLine="240"/>
        <w:rPr>
          <w:rFonts w:ascii="宋体" w:hAnsi="宋体" w:cs="宋体"/>
          <w:szCs w:val="24"/>
        </w:rPr>
      </w:pPr>
      <w:r>
        <w:rPr>
          <w:rFonts w:hint="eastAsia" w:ascii="宋体" w:hAnsi="宋体" w:cs="宋体"/>
          <w:szCs w:val="24"/>
        </w:rPr>
        <w:t>3、招标方负责金晖路厂内施工用电。</w:t>
      </w:r>
    </w:p>
    <w:p>
      <w:pPr>
        <w:pStyle w:val="7"/>
        <w:ind w:firstLine="240"/>
        <w:rPr>
          <w:rFonts w:ascii="宋体" w:hAnsi="宋体" w:cs="宋体"/>
          <w:szCs w:val="24"/>
        </w:rPr>
      </w:pPr>
      <w:r>
        <w:rPr>
          <w:rFonts w:hint="eastAsia" w:ascii="宋体" w:hAnsi="宋体" w:cs="宋体"/>
          <w:szCs w:val="24"/>
        </w:rPr>
        <w:t>三、报价单：</w:t>
      </w:r>
    </w:p>
    <w:tbl>
      <w:tblPr>
        <w:tblStyle w:val="17"/>
        <w:tblW w:w="90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701"/>
        <w:gridCol w:w="1134"/>
        <w:gridCol w:w="850"/>
        <w:gridCol w:w="851"/>
        <w:gridCol w:w="794"/>
        <w:gridCol w:w="888"/>
        <w:gridCol w:w="1177"/>
        <w:gridCol w:w="11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4" w:type="dxa"/>
          </w:tcPr>
          <w:p>
            <w:pPr>
              <w:pStyle w:val="7"/>
              <w:ind w:firstLine="0" w:firstLineChars="0"/>
              <w:rPr>
                <w:rFonts w:ascii="宋体" w:hAnsi="宋体" w:cs="宋体"/>
                <w:sz w:val="15"/>
                <w:szCs w:val="15"/>
              </w:rPr>
            </w:pPr>
            <w:r>
              <w:rPr>
                <w:rFonts w:hint="eastAsia" w:ascii="宋体" w:hAnsi="宋体" w:cs="宋体"/>
                <w:color w:val="000000"/>
                <w:sz w:val="15"/>
                <w:szCs w:val="15"/>
                <w:lang w:bidi="ar"/>
              </w:rPr>
              <w:t>序号</w:t>
            </w:r>
          </w:p>
        </w:tc>
        <w:tc>
          <w:tcPr>
            <w:tcW w:w="1701" w:type="dxa"/>
          </w:tcPr>
          <w:p>
            <w:pPr>
              <w:pStyle w:val="7"/>
              <w:ind w:firstLine="150"/>
              <w:rPr>
                <w:rFonts w:ascii="宋体" w:hAnsi="宋体" w:cs="宋体"/>
                <w:sz w:val="15"/>
                <w:szCs w:val="15"/>
              </w:rPr>
            </w:pPr>
            <w:r>
              <w:rPr>
                <w:rFonts w:hint="eastAsia" w:ascii="宋体" w:hAnsi="宋体" w:cs="宋体"/>
                <w:color w:val="000000"/>
                <w:sz w:val="15"/>
                <w:szCs w:val="15"/>
                <w:lang w:bidi="ar"/>
              </w:rPr>
              <w:t>名称</w:t>
            </w:r>
          </w:p>
        </w:tc>
        <w:tc>
          <w:tcPr>
            <w:tcW w:w="1134" w:type="dxa"/>
          </w:tcPr>
          <w:p>
            <w:pPr>
              <w:pStyle w:val="7"/>
              <w:ind w:firstLine="0" w:firstLineChars="0"/>
              <w:rPr>
                <w:rFonts w:ascii="宋体" w:hAnsi="宋体" w:cs="宋体"/>
                <w:sz w:val="15"/>
                <w:szCs w:val="15"/>
              </w:rPr>
            </w:pPr>
            <w:r>
              <w:rPr>
                <w:rFonts w:hint="eastAsia" w:ascii="宋体" w:hAnsi="宋体" w:cs="宋体"/>
                <w:color w:val="000000"/>
                <w:sz w:val="15"/>
                <w:szCs w:val="15"/>
                <w:lang w:bidi="ar"/>
              </w:rPr>
              <w:t>规格型号</w:t>
            </w:r>
          </w:p>
        </w:tc>
        <w:tc>
          <w:tcPr>
            <w:tcW w:w="850" w:type="dxa"/>
          </w:tcPr>
          <w:p>
            <w:pPr>
              <w:pStyle w:val="7"/>
              <w:ind w:firstLine="150"/>
              <w:rPr>
                <w:rFonts w:ascii="宋体" w:hAnsi="宋体" w:cs="宋体"/>
                <w:sz w:val="15"/>
                <w:szCs w:val="15"/>
              </w:rPr>
            </w:pPr>
            <w:r>
              <w:rPr>
                <w:rFonts w:hint="eastAsia" w:ascii="宋体" w:hAnsi="宋体" w:cs="宋体"/>
                <w:color w:val="000000"/>
                <w:sz w:val="15"/>
                <w:szCs w:val="15"/>
                <w:lang w:bidi="ar"/>
              </w:rPr>
              <w:t>单位</w:t>
            </w:r>
          </w:p>
        </w:tc>
        <w:tc>
          <w:tcPr>
            <w:tcW w:w="851" w:type="dxa"/>
          </w:tcPr>
          <w:p>
            <w:pPr>
              <w:pStyle w:val="7"/>
              <w:ind w:firstLine="150"/>
              <w:rPr>
                <w:rFonts w:ascii="宋体" w:hAnsi="宋体" w:cs="宋体"/>
                <w:sz w:val="15"/>
                <w:szCs w:val="15"/>
              </w:rPr>
            </w:pPr>
            <w:r>
              <w:rPr>
                <w:rFonts w:hint="eastAsia" w:ascii="宋体" w:hAnsi="宋体" w:cs="宋体"/>
                <w:color w:val="000000"/>
                <w:sz w:val="15"/>
                <w:szCs w:val="15"/>
                <w:lang w:bidi="ar"/>
              </w:rPr>
              <w:t>数量</w:t>
            </w:r>
          </w:p>
        </w:tc>
        <w:tc>
          <w:tcPr>
            <w:tcW w:w="794" w:type="dxa"/>
          </w:tcPr>
          <w:p>
            <w:pPr>
              <w:pStyle w:val="7"/>
              <w:ind w:firstLine="150"/>
              <w:rPr>
                <w:rFonts w:ascii="宋体" w:hAnsi="宋体" w:cs="宋体"/>
                <w:sz w:val="15"/>
                <w:szCs w:val="15"/>
              </w:rPr>
            </w:pPr>
            <w:r>
              <w:rPr>
                <w:rFonts w:hint="eastAsia" w:ascii="宋体" w:hAnsi="宋体" w:cs="宋体"/>
                <w:color w:val="000000"/>
                <w:sz w:val="15"/>
                <w:szCs w:val="15"/>
                <w:lang w:bidi="ar"/>
              </w:rPr>
              <w:t>单价</w:t>
            </w:r>
          </w:p>
        </w:tc>
        <w:tc>
          <w:tcPr>
            <w:tcW w:w="888" w:type="dxa"/>
          </w:tcPr>
          <w:p>
            <w:pPr>
              <w:pStyle w:val="7"/>
              <w:ind w:firstLine="150"/>
              <w:rPr>
                <w:rFonts w:ascii="宋体" w:hAnsi="宋体" w:cs="宋体"/>
                <w:sz w:val="15"/>
                <w:szCs w:val="15"/>
              </w:rPr>
            </w:pPr>
            <w:r>
              <w:rPr>
                <w:rFonts w:hint="eastAsia" w:ascii="宋体" w:hAnsi="宋体" w:cs="宋体"/>
                <w:color w:val="000000"/>
                <w:sz w:val="15"/>
                <w:szCs w:val="15"/>
                <w:lang w:bidi="ar"/>
              </w:rPr>
              <w:t>合价</w:t>
            </w:r>
          </w:p>
        </w:tc>
        <w:tc>
          <w:tcPr>
            <w:tcW w:w="1177" w:type="dxa"/>
          </w:tcPr>
          <w:p>
            <w:pPr>
              <w:pStyle w:val="7"/>
              <w:ind w:firstLine="150"/>
              <w:rPr>
                <w:rFonts w:ascii="宋体" w:hAnsi="宋体" w:cs="宋体"/>
                <w:sz w:val="15"/>
                <w:szCs w:val="15"/>
              </w:rPr>
            </w:pPr>
            <w:r>
              <w:rPr>
                <w:rFonts w:hint="eastAsia" w:ascii="宋体" w:hAnsi="宋体" w:cs="宋体"/>
                <w:color w:val="000000"/>
                <w:sz w:val="15"/>
                <w:szCs w:val="15"/>
                <w:lang w:bidi="ar"/>
              </w:rPr>
              <w:t>品牌要求</w:t>
            </w:r>
          </w:p>
        </w:tc>
        <w:tc>
          <w:tcPr>
            <w:tcW w:w="1154" w:type="dxa"/>
          </w:tcPr>
          <w:p>
            <w:pPr>
              <w:pStyle w:val="7"/>
              <w:ind w:firstLine="150"/>
              <w:rPr>
                <w:rFonts w:ascii="宋体" w:hAnsi="宋体" w:cs="宋体"/>
                <w:sz w:val="15"/>
                <w:szCs w:val="15"/>
              </w:rPr>
            </w:pPr>
            <w:r>
              <w:rPr>
                <w:rFonts w:hint="eastAsia" w:ascii="宋体" w:hAnsi="宋体" w:cs="宋体"/>
                <w:color w:val="000000"/>
                <w:sz w:val="15"/>
                <w:szCs w:val="15"/>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 w:hRule="atLeast"/>
        </w:trPr>
        <w:tc>
          <w:tcPr>
            <w:tcW w:w="534"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1</w:t>
            </w:r>
          </w:p>
        </w:tc>
        <w:tc>
          <w:tcPr>
            <w:tcW w:w="1701" w:type="dxa"/>
          </w:tcPr>
          <w:p>
            <w:pPr>
              <w:pStyle w:val="7"/>
              <w:ind w:firstLine="0" w:firstLineChars="0"/>
              <w:jc w:val="center"/>
              <w:rPr>
                <w:rFonts w:ascii="宋体" w:hAnsi="宋体" w:cs="宋体"/>
                <w:color w:val="000000"/>
                <w:sz w:val="13"/>
                <w:szCs w:val="13"/>
                <w:lang w:bidi="ar"/>
              </w:rPr>
            </w:pPr>
            <w:r>
              <w:rPr>
                <w:rFonts w:hint="eastAsia" w:ascii="宋体" w:hAnsi="宋体" w:cs="宋体"/>
                <w:color w:val="000000"/>
                <w:sz w:val="13"/>
                <w:szCs w:val="13"/>
                <w:lang w:bidi="ar"/>
              </w:rPr>
              <w:t>高压进线柜</w:t>
            </w:r>
          </w:p>
        </w:tc>
        <w:tc>
          <w:tcPr>
            <w:tcW w:w="1134" w:type="dxa"/>
          </w:tcPr>
          <w:p>
            <w:pPr>
              <w:pStyle w:val="7"/>
              <w:ind w:firstLine="130"/>
              <w:rPr>
                <w:rFonts w:ascii="宋体" w:hAnsi="宋体" w:cs="宋体"/>
                <w:color w:val="000000"/>
                <w:sz w:val="13"/>
                <w:szCs w:val="13"/>
                <w:lang w:bidi="ar"/>
              </w:rPr>
            </w:pPr>
            <w:r>
              <w:rPr>
                <w:rFonts w:ascii="宋体" w:hAnsi="宋体" w:cs="宋体"/>
                <w:color w:val="000000"/>
                <w:sz w:val="13"/>
                <w:szCs w:val="13"/>
                <w:lang w:bidi="ar"/>
              </w:rPr>
              <w:t>KYN61-40.5</w:t>
            </w:r>
          </w:p>
        </w:tc>
        <w:tc>
          <w:tcPr>
            <w:tcW w:w="850" w:type="dxa"/>
          </w:tcPr>
          <w:p>
            <w:pPr>
              <w:pStyle w:val="7"/>
              <w:ind w:firstLine="130"/>
              <w:jc w:val="center"/>
              <w:rPr>
                <w:rFonts w:ascii="宋体" w:hAnsi="宋体" w:cs="宋体"/>
                <w:color w:val="000000"/>
                <w:sz w:val="13"/>
                <w:szCs w:val="13"/>
                <w:lang w:bidi="ar"/>
              </w:rPr>
            </w:pPr>
            <w:r>
              <w:rPr>
                <w:rFonts w:hint="eastAsia" w:ascii="宋体" w:hAnsi="宋体" w:cs="宋体"/>
                <w:color w:val="000000"/>
                <w:sz w:val="13"/>
                <w:szCs w:val="13"/>
                <w:lang w:bidi="ar"/>
              </w:rPr>
              <w:t>套</w:t>
            </w:r>
          </w:p>
        </w:tc>
        <w:tc>
          <w:tcPr>
            <w:tcW w:w="851"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1</w:t>
            </w:r>
          </w:p>
        </w:tc>
        <w:tc>
          <w:tcPr>
            <w:tcW w:w="794" w:type="dxa"/>
          </w:tcPr>
          <w:p>
            <w:pPr>
              <w:pStyle w:val="7"/>
              <w:ind w:firstLine="13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pStyle w:val="7"/>
              <w:ind w:firstLine="130"/>
              <w:jc w:val="center"/>
              <w:rPr>
                <w:rFonts w:ascii="宋体" w:hAnsi="宋体" w:cs="宋体"/>
                <w:color w:val="000000"/>
                <w:sz w:val="13"/>
                <w:szCs w:val="13"/>
                <w:lang w:bidi="ar"/>
              </w:rPr>
            </w:pPr>
            <w:r>
              <w:rPr>
                <w:rFonts w:hint="eastAsia" w:ascii="宋体" w:hAnsi="宋体" w:cs="宋体"/>
                <w:color w:val="000000"/>
                <w:sz w:val="13"/>
                <w:szCs w:val="13"/>
                <w:lang w:bidi="ar"/>
              </w:rPr>
              <w:t>35KV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4"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2</w:t>
            </w:r>
          </w:p>
        </w:tc>
        <w:tc>
          <w:tcPr>
            <w:tcW w:w="1701" w:type="dxa"/>
          </w:tcPr>
          <w:p>
            <w:pPr>
              <w:pStyle w:val="7"/>
              <w:ind w:firstLine="0" w:firstLineChars="0"/>
              <w:jc w:val="center"/>
              <w:rPr>
                <w:rFonts w:ascii="宋体" w:hAnsi="宋体" w:cs="宋体"/>
                <w:color w:val="000000"/>
                <w:sz w:val="13"/>
                <w:szCs w:val="13"/>
                <w:lang w:bidi="ar"/>
              </w:rPr>
            </w:pPr>
            <w:r>
              <w:rPr>
                <w:rFonts w:hint="eastAsia" w:ascii="宋体" w:hAnsi="宋体" w:cs="宋体"/>
                <w:color w:val="000000"/>
                <w:sz w:val="13"/>
                <w:szCs w:val="13"/>
                <w:lang w:bidi="ar"/>
              </w:rPr>
              <w:t>高压出线柜</w:t>
            </w:r>
          </w:p>
        </w:tc>
        <w:tc>
          <w:tcPr>
            <w:tcW w:w="1134" w:type="dxa"/>
          </w:tcPr>
          <w:p>
            <w:pPr>
              <w:pStyle w:val="7"/>
              <w:ind w:firstLine="130"/>
              <w:rPr>
                <w:rFonts w:ascii="宋体" w:hAnsi="宋体" w:cs="宋体"/>
                <w:color w:val="000000"/>
                <w:sz w:val="13"/>
                <w:szCs w:val="13"/>
                <w:lang w:bidi="ar"/>
              </w:rPr>
            </w:pPr>
            <w:r>
              <w:rPr>
                <w:rFonts w:ascii="宋体" w:hAnsi="宋体" w:cs="宋体"/>
                <w:color w:val="000000"/>
                <w:sz w:val="13"/>
                <w:szCs w:val="13"/>
                <w:lang w:bidi="ar"/>
              </w:rPr>
              <w:t>KYN61-40.5</w:t>
            </w:r>
          </w:p>
        </w:tc>
        <w:tc>
          <w:tcPr>
            <w:tcW w:w="850" w:type="dxa"/>
          </w:tcPr>
          <w:p>
            <w:pPr>
              <w:pStyle w:val="7"/>
              <w:ind w:firstLine="130"/>
              <w:jc w:val="center"/>
              <w:rPr>
                <w:rFonts w:ascii="宋体" w:hAnsi="宋体" w:cs="宋体"/>
                <w:color w:val="000000"/>
                <w:sz w:val="13"/>
                <w:szCs w:val="13"/>
                <w:lang w:bidi="ar"/>
              </w:rPr>
            </w:pPr>
            <w:r>
              <w:rPr>
                <w:rFonts w:hint="eastAsia" w:ascii="宋体" w:hAnsi="宋体" w:cs="宋体"/>
                <w:color w:val="000000"/>
                <w:sz w:val="13"/>
                <w:szCs w:val="13"/>
                <w:lang w:bidi="ar"/>
              </w:rPr>
              <w:t>套</w:t>
            </w:r>
          </w:p>
        </w:tc>
        <w:tc>
          <w:tcPr>
            <w:tcW w:w="851"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1</w:t>
            </w:r>
          </w:p>
        </w:tc>
        <w:tc>
          <w:tcPr>
            <w:tcW w:w="794" w:type="dxa"/>
          </w:tcPr>
          <w:p>
            <w:pPr>
              <w:pStyle w:val="7"/>
              <w:ind w:firstLine="13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jc w:val="center"/>
            </w:pPr>
            <w:r>
              <w:rPr>
                <w:rFonts w:hint="eastAsia" w:ascii="宋体" w:hAnsi="宋体" w:cs="宋体"/>
                <w:color w:val="000000"/>
                <w:sz w:val="13"/>
                <w:szCs w:val="13"/>
                <w:lang w:bidi="ar"/>
              </w:rPr>
              <w:t>35KV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4"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3</w:t>
            </w:r>
          </w:p>
        </w:tc>
        <w:tc>
          <w:tcPr>
            <w:tcW w:w="1701" w:type="dxa"/>
          </w:tcPr>
          <w:p>
            <w:pPr>
              <w:pStyle w:val="7"/>
              <w:ind w:firstLine="0" w:firstLineChars="0"/>
              <w:jc w:val="center"/>
              <w:rPr>
                <w:rFonts w:ascii="宋体" w:hAnsi="宋体" w:cs="宋体"/>
                <w:color w:val="000000"/>
                <w:sz w:val="13"/>
                <w:szCs w:val="13"/>
                <w:lang w:bidi="ar"/>
              </w:rPr>
            </w:pPr>
            <w:r>
              <w:rPr>
                <w:rFonts w:hint="eastAsia" w:ascii="宋体" w:hAnsi="宋体" w:cs="宋体"/>
                <w:color w:val="000000"/>
                <w:sz w:val="13"/>
                <w:szCs w:val="13"/>
                <w:lang w:bidi="ar"/>
              </w:rPr>
              <w:t>配电装置系统</w:t>
            </w:r>
          </w:p>
        </w:tc>
        <w:tc>
          <w:tcPr>
            <w:tcW w:w="1134" w:type="dxa"/>
          </w:tcPr>
          <w:p>
            <w:pPr>
              <w:pStyle w:val="7"/>
              <w:ind w:firstLine="130"/>
              <w:rPr>
                <w:rFonts w:ascii="宋体" w:hAnsi="宋体" w:cs="宋体"/>
                <w:color w:val="000000"/>
                <w:sz w:val="13"/>
                <w:szCs w:val="13"/>
                <w:lang w:bidi="ar"/>
              </w:rPr>
            </w:pPr>
          </w:p>
        </w:tc>
        <w:tc>
          <w:tcPr>
            <w:tcW w:w="850" w:type="dxa"/>
          </w:tcPr>
          <w:p>
            <w:pPr>
              <w:jc w:val="center"/>
            </w:pPr>
            <w:r>
              <w:rPr>
                <w:rFonts w:hint="eastAsia" w:ascii="宋体" w:hAnsi="宋体" w:cs="宋体"/>
                <w:color w:val="000000"/>
                <w:sz w:val="13"/>
                <w:szCs w:val="13"/>
                <w:lang w:bidi="ar"/>
              </w:rPr>
              <w:t>套</w:t>
            </w:r>
          </w:p>
        </w:tc>
        <w:tc>
          <w:tcPr>
            <w:tcW w:w="851"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1</w:t>
            </w:r>
          </w:p>
        </w:tc>
        <w:tc>
          <w:tcPr>
            <w:tcW w:w="794" w:type="dxa"/>
          </w:tcPr>
          <w:p>
            <w:pPr>
              <w:pStyle w:val="7"/>
              <w:ind w:firstLine="13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jc w:val="center"/>
            </w:pPr>
            <w:r>
              <w:rPr>
                <w:rFonts w:hint="eastAsia" w:ascii="宋体" w:hAnsi="宋体" w:cs="宋体"/>
                <w:color w:val="000000"/>
                <w:sz w:val="13"/>
                <w:szCs w:val="13"/>
                <w:lang w:bidi="ar"/>
              </w:rPr>
              <w:t>35KV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4"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4</w:t>
            </w:r>
          </w:p>
        </w:tc>
        <w:tc>
          <w:tcPr>
            <w:tcW w:w="1701" w:type="dxa"/>
          </w:tcPr>
          <w:p>
            <w:pPr>
              <w:pStyle w:val="7"/>
              <w:ind w:firstLine="0" w:firstLineChars="0"/>
              <w:jc w:val="center"/>
              <w:rPr>
                <w:rFonts w:ascii="宋体" w:hAnsi="宋体" w:cs="宋体"/>
                <w:color w:val="000000"/>
                <w:sz w:val="13"/>
                <w:szCs w:val="13"/>
                <w:lang w:bidi="ar"/>
              </w:rPr>
            </w:pPr>
            <w:r>
              <w:rPr>
                <w:rFonts w:hint="eastAsia" w:ascii="宋体" w:hAnsi="宋体" w:cs="宋体"/>
                <w:color w:val="000000"/>
                <w:sz w:val="13"/>
                <w:szCs w:val="13"/>
                <w:lang w:bidi="ar"/>
              </w:rPr>
              <w:t>避雷器</w:t>
            </w:r>
          </w:p>
        </w:tc>
        <w:tc>
          <w:tcPr>
            <w:tcW w:w="1134" w:type="dxa"/>
          </w:tcPr>
          <w:p>
            <w:pPr>
              <w:pStyle w:val="7"/>
              <w:ind w:firstLine="130"/>
              <w:rPr>
                <w:rFonts w:ascii="宋体" w:hAnsi="宋体" w:cs="宋体"/>
                <w:color w:val="000000"/>
                <w:sz w:val="13"/>
                <w:szCs w:val="13"/>
                <w:lang w:bidi="ar"/>
              </w:rPr>
            </w:pPr>
          </w:p>
        </w:tc>
        <w:tc>
          <w:tcPr>
            <w:tcW w:w="850" w:type="dxa"/>
          </w:tcPr>
          <w:p>
            <w:pPr>
              <w:jc w:val="center"/>
            </w:pPr>
            <w:r>
              <w:rPr>
                <w:rFonts w:hint="eastAsia" w:ascii="宋体" w:hAnsi="宋体" w:cs="宋体"/>
                <w:color w:val="000000"/>
                <w:sz w:val="13"/>
                <w:szCs w:val="13"/>
                <w:lang w:bidi="ar"/>
              </w:rPr>
              <w:t>套</w:t>
            </w:r>
          </w:p>
        </w:tc>
        <w:tc>
          <w:tcPr>
            <w:tcW w:w="851"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1</w:t>
            </w:r>
          </w:p>
        </w:tc>
        <w:tc>
          <w:tcPr>
            <w:tcW w:w="794" w:type="dxa"/>
          </w:tcPr>
          <w:p>
            <w:pPr>
              <w:pStyle w:val="7"/>
              <w:ind w:firstLine="13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jc w:val="center"/>
            </w:pPr>
            <w:r>
              <w:rPr>
                <w:rFonts w:hint="eastAsia" w:ascii="宋体" w:hAnsi="宋体" w:cs="宋体"/>
                <w:color w:val="000000"/>
                <w:sz w:val="13"/>
                <w:szCs w:val="13"/>
                <w:lang w:bidi="ar"/>
              </w:rPr>
              <w:t>35KV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4" w:type="dxa"/>
          </w:tcPr>
          <w:p>
            <w:pPr>
              <w:pStyle w:val="7"/>
              <w:ind w:firstLine="130"/>
              <w:rPr>
                <w:rFonts w:ascii="宋体" w:hAnsi="宋体" w:cs="宋体"/>
                <w:color w:val="000000"/>
                <w:sz w:val="13"/>
                <w:szCs w:val="13"/>
                <w:lang w:bidi="ar"/>
              </w:rPr>
            </w:pPr>
            <w:bookmarkStart w:id="47" w:name="_GoBack" w:colFirst="5" w:colLast="5"/>
            <w:r>
              <w:rPr>
                <w:rFonts w:hint="eastAsia" w:ascii="宋体" w:hAnsi="宋体" w:cs="宋体"/>
                <w:color w:val="000000"/>
                <w:sz w:val="13"/>
                <w:szCs w:val="13"/>
                <w:lang w:bidi="ar"/>
              </w:rPr>
              <w:t>5</w:t>
            </w:r>
          </w:p>
        </w:tc>
        <w:tc>
          <w:tcPr>
            <w:tcW w:w="1701" w:type="dxa"/>
          </w:tcPr>
          <w:p>
            <w:pPr>
              <w:pStyle w:val="7"/>
              <w:ind w:firstLine="0" w:firstLineChars="0"/>
              <w:jc w:val="center"/>
              <w:rPr>
                <w:rFonts w:ascii="宋体" w:hAnsi="宋体" w:cs="宋体"/>
                <w:color w:val="000000"/>
                <w:sz w:val="13"/>
                <w:szCs w:val="13"/>
                <w:lang w:bidi="ar"/>
              </w:rPr>
            </w:pPr>
            <w:r>
              <w:rPr>
                <w:rFonts w:hint="eastAsia" w:ascii="宋体" w:hAnsi="宋体" w:cs="宋体"/>
                <w:color w:val="000000"/>
                <w:sz w:val="13"/>
                <w:szCs w:val="13"/>
                <w:lang w:bidi="ar"/>
              </w:rPr>
              <w:t>接地装置</w:t>
            </w:r>
          </w:p>
        </w:tc>
        <w:tc>
          <w:tcPr>
            <w:tcW w:w="1134" w:type="dxa"/>
          </w:tcPr>
          <w:p>
            <w:pPr>
              <w:pStyle w:val="7"/>
              <w:ind w:firstLine="130"/>
              <w:rPr>
                <w:rFonts w:ascii="宋体" w:hAnsi="宋体" w:cs="宋体"/>
                <w:color w:val="000000"/>
                <w:sz w:val="13"/>
                <w:szCs w:val="13"/>
                <w:lang w:bidi="ar"/>
              </w:rPr>
            </w:pPr>
          </w:p>
        </w:tc>
        <w:tc>
          <w:tcPr>
            <w:tcW w:w="850" w:type="dxa"/>
          </w:tcPr>
          <w:p>
            <w:pPr>
              <w:jc w:val="center"/>
            </w:pPr>
            <w:r>
              <w:rPr>
                <w:rFonts w:hint="eastAsia" w:ascii="宋体" w:hAnsi="宋体" w:cs="宋体"/>
                <w:color w:val="000000"/>
                <w:sz w:val="13"/>
                <w:szCs w:val="13"/>
                <w:lang w:bidi="ar"/>
              </w:rPr>
              <w:t>套</w:t>
            </w:r>
          </w:p>
        </w:tc>
        <w:tc>
          <w:tcPr>
            <w:tcW w:w="851"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1</w:t>
            </w:r>
          </w:p>
        </w:tc>
        <w:tc>
          <w:tcPr>
            <w:tcW w:w="794" w:type="dxa"/>
          </w:tcPr>
          <w:p>
            <w:pPr>
              <w:pStyle w:val="7"/>
              <w:ind w:firstLine="13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jc w:val="center"/>
            </w:pPr>
            <w:r>
              <w:rPr>
                <w:rFonts w:hint="eastAsia" w:ascii="宋体" w:hAnsi="宋体" w:cs="宋体"/>
                <w:color w:val="000000"/>
                <w:sz w:val="13"/>
                <w:szCs w:val="13"/>
                <w:lang w:bidi="ar"/>
              </w:rPr>
              <w:t>35KV</w:t>
            </w:r>
          </w:p>
        </w:tc>
      </w:tr>
      <w:bookmarkEnd w:id="47"/>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4"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6</w:t>
            </w:r>
          </w:p>
        </w:tc>
        <w:tc>
          <w:tcPr>
            <w:tcW w:w="1701" w:type="dxa"/>
          </w:tcPr>
          <w:p>
            <w:pPr>
              <w:pStyle w:val="7"/>
              <w:ind w:firstLine="130"/>
              <w:jc w:val="center"/>
              <w:rPr>
                <w:rFonts w:ascii="宋体" w:hAnsi="宋体" w:cs="宋体"/>
                <w:color w:val="000000"/>
                <w:sz w:val="13"/>
                <w:szCs w:val="13"/>
                <w:lang w:bidi="ar"/>
              </w:rPr>
            </w:pPr>
            <w:r>
              <w:rPr>
                <w:rFonts w:hint="eastAsia" w:ascii="宋体" w:hAnsi="宋体" w:cs="宋体"/>
                <w:color w:val="000000"/>
                <w:sz w:val="13"/>
                <w:szCs w:val="13"/>
                <w:lang w:bidi="ar"/>
              </w:rPr>
              <w:t>塑壳断路器</w:t>
            </w:r>
          </w:p>
        </w:tc>
        <w:tc>
          <w:tcPr>
            <w:tcW w:w="1134" w:type="dxa"/>
          </w:tcPr>
          <w:p>
            <w:pPr>
              <w:pStyle w:val="7"/>
              <w:ind w:firstLine="0" w:firstLineChars="0"/>
              <w:rPr>
                <w:rFonts w:ascii="宋体" w:hAnsi="宋体" w:cs="宋体"/>
                <w:color w:val="000000"/>
                <w:sz w:val="10"/>
                <w:szCs w:val="10"/>
                <w:lang w:bidi="ar"/>
              </w:rPr>
            </w:pPr>
            <w:r>
              <w:rPr>
                <w:rFonts w:ascii="宋体" w:hAnsi="宋体" w:cs="宋体"/>
                <w:color w:val="000000"/>
                <w:sz w:val="10"/>
                <w:szCs w:val="10"/>
                <w:lang w:bidi="ar"/>
              </w:rPr>
              <w:t xml:space="preserve">CM3-800M/3300 </w:t>
            </w:r>
            <w:r>
              <w:rPr>
                <w:rFonts w:hint="eastAsia" w:ascii="宋体" w:hAnsi="宋体" w:cs="宋体"/>
                <w:color w:val="000000"/>
                <w:sz w:val="10"/>
                <w:szCs w:val="10"/>
                <w:lang w:bidi="ar"/>
              </w:rPr>
              <w:t>630</w:t>
            </w:r>
            <w:r>
              <w:rPr>
                <w:rFonts w:ascii="宋体" w:hAnsi="宋体" w:cs="宋体"/>
                <w:color w:val="000000"/>
                <w:sz w:val="10"/>
                <w:szCs w:val="10"/>
                <w:lang w:bidi="ar"/>
              </w:rPr>
              <w:t>A</w:t>
            </w:r>
          </w:p>
        </w:tc>
        <w:tc>
          <w:tcPr>
            <w:tcW w:w="850" w:type="dxa"/>
          </w:tcPr>
          <w:p>
            <w:pPr>
              <w:pStyle w:val="7"/>
              <w:ind w:firstLine="130"/>
              <w:jc w:val="center"/>
              <w:rPr>
                <w:rFonts w:ascii="宋体" w:hAnsi="宋体" w:cs="宋体"/>
                <w:color w:val="000000"/>
                <w:sz w:val="13"/>
                <w:szCs w:val="13"/>
                <w:lang w:bidi="ar"/>
              </w:rPr>
            </w:pPr>
            <w:r>
              <w:rPr>
                <w:rFonts w:ascii="宋体" w:hAnsi="宋体" w:cs="宋体"/>
                <w:color w:val="000000"/>
                <w:sz w:val="13"/>
                <w:szCs w:val="13"/>
                <w:lang w:bidi="ar"/>
              </w:rPr>
              <w:t>台</w:t>
            </w:r>
          </w:p>
        </w:tc>
        <w:tc>
          <w:tcPr>
            <w:tcW w:w="851"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52</w:t>
            </w:r>
          </w:p>
        </w:tc>
        <w:tc>
          <w:tcPr>
            <w:tcW w:w="794" w:type="dxa"/>
          </w:tcPr>
          <w:p>
            <w:pPr>
              <w:pStyle w:val="7"/>
              <w:ind w:firstLine="13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pStyle w:val="7"/>
              <w:ind w:firstLine="0" w:firstLineChars="0"/>
              <w:jc w:val="center"/>
              <w:rPr>
                <w:rFonts w:ascii="宋体" w:hAnsi="宋体" w:cs="宋体"/>
                <w:color w:val="000000"/>
                <w:sz w:val="13"/>
                <w:szCs w:val="13"/>
                <w:lang w:bidi="ar"/>
              </w:rPr>
            </w:pPr>
            <w:r>
              <w:rPr>
                <w:rFonts w:ascii="宋体" w:hAnsi="宋体" w:cs="宋体"/>
                <w:color w:val="000000"/>
                <w:sz w:val="13"/>
                <w:szCs w:val="13"/>
                <w:lang w:bidi="ar"/>
              </w:rPr>
              <w:t>常</w:t>
            </w:r>
            <w:r>
              <w:rPr>
                <w:rFonts w:hint="eastAsia" w:ascii="宋体" w:hAnsi="宋体" w:cs="宋体"/>
                <w:color w:val="000000"/>
                <w:sz w:val="13"/>
                <w:szCs w:val="13"/>
                <w:lang w:eastAsia="zh-CN" w:bidi="ar"/>
              </w:rPr>
              <w:t>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2" w:hRule="atLeast"/>
        </w:trPr>
        <w:tc>
          <w:tcPr>
            <w:tcW w:w="534"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7</w:t>
            </w:r>
          </w:p>
        </w:tc>
        <w:tc>
          <w:tcPr>
            <w:tcW w:w="1701" w:type="dxa"/>
          </w:tcPr>
          <w:p>
            <w:pPr>
              <w:pStyle w:val="7"/>
              <w:ind w:firstLine="130"/>
              <w:jc w:val="center"/>
              <w:rPr>
                <w:rFonts w:ascii="宋体" w:hAnsi="宋体" w:cs="宋体"/>
                <w:color w:val="000000"/>
                <w:sz w:val="13"/>
                <w:szCs w:val="13"/>
                <w:lang w:bidi="ar"/>
              </w:rPr>
            </w:pPr>
            <w:r>
              <w:rPr>
                <w:rFonts w:hint="eastAsia" w:ascii="宋体" w:hAnsi="宋体" w:cs="宋体"/>
                <w:color w:val="000000"/>
                <w:sz w:val="13"/>
                <w:szCs w:val="13"/>
                <w:lang w:bidi="ar"/>
              </w:rPr>
              <w:t>柜内母排</w:t>
            </w:r>
          </w:p>
        </w:tc>
        <w:tc>
          <w:tcPr>
            <w:tcW w:w="1134" w:type="dxa"/>
          </w:tcPr>
          <w:p>
            <w:pPr>
              <w:pStyle w:val="7"/>
              <w:ind w:firstLine="130"/>
              <w:rPr>
                <w:rFonts w:ascii="宋体" w:hAnsi="宋体" w:cs="宋体"/>
                <w:color w:val="000000"/>
                <w:sz w:val="13"/>
                <w:szCs w:val="13"/>
                <w:lang w:bidi="ar"/>
              </w:rPr>
            </w:pPr>
            <w:r>
              <w:rPr>
                <w:rFonts w:ascii="宋体" w:hAnsi="宋体" w:cs="宋体"/>
                <w:color w:val="000000"/>
                <w:sz w:val="13"/>
                <w:szCs w:val="13"/>
                <w:lang w:bidi="ar"/>
              </w:rPr>
              <w:t>Tmy-3*40*6</w:t>
            </w:r>
          </w:p>
        </w:tc>
        <w:tc>
          <w:tcPr>
            <w:tcW w:w="850" w:type="dxa"/>
          </w:tcPr>
          <w:p>
            <w:pPr>
              <w:pStyle w:val="7"/>
              <w:ind w:firstLine="130"/>
              <w:jc w:val="center"/>
              <w:rPr>
                <w:rFonts w:ascii="宋体" w:hAnsi="宋体" w:cs="宋体"/>
                <w:color w:val="000000"/>
                <w:sz w:val="13"/>
                <w:szCs w:val="13"/>
                <w:lang w:bidi="ar"/>
              </w:rPr>
            </w:pPr>
            <w:r>
              <w:rPr>
                <w:rFonts w:ascii="宋体" w:hAnsi="宋体" w:cs="宋体"/>
                <w:color w:val="000000"/>
                <w:sz w:val="13"/>
                <w:szCs w:val="13"/>
                <w:lang w:bidi="ar"/>
              </w:rPr>
              <w:t>Kg</w:t>
            </w:r>
          </w:p>
        </w:tc>
        <w:tc>
          <w:tcPr>
            <w:tcW w:w="851" w:type="dxa"/>
          </w:tcPr>
          <w:p>
            <w:pPr>
              <w:pStyle w:val="7"/>
              <w:ind w:firstLine="130"/>
              <w:rPr>
                <w:rFonts w:ascii="宋体" w:hAnsi="宋体" w:cs="宋体"/>
                <w:color w:val="000000"/>
                <w:sz w:val="13"/>
                <w:szCs w:val="13"/>
                <w:lang w:bidi="ar"/>
              </w:rPr>
            </w:pPr>
          </w:p>
        </w:tc>
        <w:tc>
          <w:tcPr>
            <w:tcW w:w="794" w:type="dxa"/>
          </w:tcPr>
          <w:p>
            <w:pPr>
              <w:pStyle w:val="7"/>
              <w:ind w:firstLine="0" w:firstLineChars="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pStyle w:val="7"/>
              <w:ind w:firstLine="130"/>
              <w:jc w:val="center"/>
              <w:rPr>
                <w:rFonts w:ascii="宋体" w:hAnsi="宋体" w:cs="宋体"/>
                <w:color w:val="000000"/>
                <w:sz w:val="13"/>
                <w:szCs w:val="13"/>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 w:hRule="atLeast"/>
        </w:trPr>
        <w:tc>
          <w:tcPr>
            <w:tcW w:w="534" w:type="dxa"/>
          </w:tcPr>
          <w:p>
            <w:pPr>
              <w:pStyle w:val="7"/>
              <w:ind w:firstLine="130"/>
              <w:rPr>
                <w:rFonts w:hint="eastAsia" w:ascii="宋体" w:hAnsi="宋体" w:cs="宋体"/>
                <w:color w:val="000000"/>
                <w:sz w:val="13"/>
                <w:szCs w:val="13"/>
                <w:lang w:bidi="ar"/>
              </w:rPr>
            </w:pPr>
            <w:r>
              <w:rPr>
                <w:rFonts w:hint="eastAsia" w:ascii="宋体" w:hAnsi="宋体" w:cs="宋体"/>
                <w:color w:val="000000"/>
                <w:sz w:val="13"/>
                <w:szCs w:val="13"/>
                <w:lang w:bidi="ar"/>
              </w:rPr>
              <w:t>8</w:t>
            </w:r>
          </w:p>
        </w:tc>
        <w:tc>
          <w:tcPr>
            <w:tcW w:w="1701" w:type="dxa"/>
          </w:tcPr>
          <w:p>
            <w:pPr>
              <w:pStyle w:val="7"/>
              <w:ind w:firstLine="130"/>
              <w:jc w:val="center"/>
              <w:rPr>
                <w:rFonts w:ascii="宋体" w:hAnsi="宋体" w:cs="宋体"/>
                <w:color w:val="000000"/>
                <w:sz w:val="13"/>
                <w:szCs w:val="13"/>
                <w:lang w:bidi="ar"/>
              </w:rPr>
            </w:pPr>
            <w:r>
              <w:rPr>
                <w:rFonts w:ascii="宋体" w:hAnsi="宋体" w:cs="宋体"/>
                <w:color w:val="000000"/>
                <w:sz w:val="13"/>
                <w:szCs w:val="13"/>
                <w:lang w:bidi="ar"/>
              </w:rPr>
              <w:t>固定式转接件</w:t>
            </w:r>
          </w:p>
        </w:tc>
        <w:tc>
          <w:tcPr>
            <w:tcW w:w="1134" w:type="dxa"/>
          </w:tcPr>
          <w:p>
            <w:pPr>
              <w:pStyle w:val="7"/>
              <w:ind w:firstLine="130"/>
              <w:rPr>
                <w:rFonts w:ascii="宋体" w:hAnsi="宋体" w:cs="宋体"/>
                <w:color w:val="000000"/>
                <w:sz w:val="13"/>
                <w:szCs w:val="13"/>
                <w:lang w:bidi="ar"/>
              </w:rPr>
            </w:pPr>
          </w:p>
        </w:tc>
        <w:tc>
          <w:tcPr>
            <w:tcW w:w="850" w:type="dxa"/>
          </w:tcPr>
          <w:p>
            <w:pPr>
              <w:pStyle w:val="7"/>
              <w:ind w:firstLine="130"/>
              <w:jc w:val="center"/>
              <w:rPr>
                <w:rFonts w:ascii="宋体" w:hAnsi="宋体" w:cs="宋体"/>
                <w:color w:val="000000"/>
                <w:sz w:val="13"/>
                <w:szCs w:val="13"/>
                <w:lang w:bidi="ar"/>
              </w:rPr>
            </w:pPr>
            <w:r>
              <w:rPr>
                <w:rFonts w:ascii="宋体" w:hAnsi="宋体" w:cs="宋体"/>
                <w:color w:val="000000"/>
                <w:sz w:val="13"/>
                <w:szCs w:val="13"/>
                <w:lang w:bidi="ar"/>
              </w:rPr>
              <w:t>套</w:t>
            </w:r>
          </w:p>
        </w:tc>
        <w:tc>
          <w:tcPr>
            <w:tcW w:w="851"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52</w:t>
            </w:r>
          </w:p>
        </w:tc>
        <w:tc>
          <w:tcPr>
            <w:tcW w:w="794" w:type="dxa"/>
          </w:tcPr>
          <w:p>
            <w:pPr>
              <w:pStyle w:val="7"/>
              <w:ind w:firstLine="13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pStyle w:val="7"/>
              <w:ind w:firstLine="130"/>
              <w:jc w:val="center"/>
              <w:rPr>
                <w:rFonts w:ascii="宋体" w:hAnsi="宋体" w:cs="宋体"/>
                <w:color w:val="000000"/>
                <w:sz w:val="13"/>
                <w:szCs w:val="13"/>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 w:hRule="atLeast"/>
        </w:trPr>
        <w:tc>
          <w:tcPr>
            <w:tcW w:w="534"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9</w:t>
            </w:r>
          </w:p>
        </w:tc>
        <w:tc>
          <w:tcPr>
            <w:tcW w:w="1701" w:type="dxa"/>
          </w:tcPr>
          <w:p>
            <w:pPr>
              <w:pStyle w:val="7"/>
              <w:ind w:firstLine="0" w:firstLineChars="0"/>
              <w:jc w:val="center"/>
              <w:rPr>
                <w:rFonts w:ascii="宋体" w:hAnsi="宋体" w:cs="宋体"/>
                <w:color w:val="000000"/>
                <w:sz w:val="13"/>
                <w:szCs w:val="13"/>
                <w:lang w:bidi="ar"/>
              </w:rPr>
            </w:pPr>
            <w:r>
              <w:rPr>
                <w:rFonts w:hint="eastAsia" w:ascii="宋体" w:hAnsi="宋体" w:cs="宋体"/>
                <w:color w:val="000000"/>
                <w:sz w:val="13"/>
                <w:szCs w:val="13"/>
                <w:lang w:bidi="ar"/>
              </w:rPr>
              <w:t>框架断路器后水平接线板</w:t>
            </w:r>
          </w:p>
        </w:tc>
        <w:tc>
          <w:tcPr>
            <w:tcW w:w="1134" w:type="dxa"/>
          </w:tcPr>
          <w:p>
            <w:pPr>
              <w:pStyle w:val="7"/>
              <w:ind w:firstLine="130"/>
              <w:rPr>
                <w:rFonts w:ascii="宋体" w:hAnsi="宋体" w:cs="宋体"/>
                <w:color w:val="000000"/>
                <w:sz w:val="13"/>
                <w:szCs w:val="13"/>
                <w:lang w:bidi="ar"/>
              </w:rPr>
            </w:pPr>
            <w:r>
              <w:rPr>
                <w:rFonts w:ascii="宋体" w:hAnsi="宋体" w:cs="宋体"/>
                <w:color w:val="000000"/>
                <w:sz w:val="13"/>
                <w:szCs w:val="13"/>
                <w:lang w:bidi="ar"/>
              </w:rPr>
              <w:t>MT50</w:t>
            </w:r>
          </w:p>
        </w:tc>
        <w:tc>
          <w:tcPr>
            <w:tcW w:w="850" w:type="dxa"/>
          </w:tcPr>
          <w:p>
            <w:pPr>
              <w:pStyle w:val="7"/>
              <w:ind w:firstLine="130"/>
              <w:jc w:val="center"/>
              <w:rPr>
                <w:rFonts w:ascii="宋体" w:hAnsi="宋体" w:cs="宋体"/>
                <w:color w:val="000000"/>
                <w:sz w:val="13"/>
                <w:szCs w:val="13"/>
                <w:lang w:bidi="ar"/>
              </w:rPr>
            </w:pPr>
            <w:r>
              <w:rPr>
                <w:rFonts w:ascii="宋体" w:hAnsi="宋体" w:cs="宋体"/>
                <w:color w:val="000000"/>
                <w:sz w:val="13"/>
                <w:szCs w:val="13"/>
                <w:lang w:bidi="ar"/>
              </w:rPr>
              <w:t>个</w:t>
            </w:r>
          </w:p>
        </w:tc>
        <w:tc>
          <w:tcPr>
            <w:tcW w:w="851" w:type="dxa"/>
          </w:tcPr>
          <w:p>
            <w:pPr>
              <w:pStyle w:val="7"/>
              <w:ind w:firstLine="130"/>
              <w:rPr>
                <w:rFonts w:ascii="宋体" w:hAnsi="宋体" w:cs="宋体"/>
                <w:color w:val="000000"/>
                <w:sz w:val="13"/>
                <w:szCs w:val="13"/>
                <w:lang w:bidi="ar"/>
              </w:rPr>
            </w:pPr>
            <w:r>
              <w:rPr>
                <w:rFonts w:hint="eastAsia" w:ascii="宋体" w:hAnsi="宋体" w:cs="宋体"/>
                <w:color w:val="000000"/>
                <w:sz w:val="13"/>
                <w:szCs w:val="13"/>
                <w:lang w:bidi="ar"/>
              </w:rPr>
              <w:t>60</w:t>
            </w:r>
          </w:p>
        </w:tc>
        <w:tc>
          <w:tcPr>
            <w:tcW w:w="794" w:type="dxa"/>
          </w:tcPr>
          <w:p>
            <w:pPr>
              <w:pStyle w:val="7"/>
              <w:ind w:firstLine="13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pStyle w:val="7"/>
              <w:ind w:firstLine="130"/>
              <w:jc w:val="center"/>
              <w:rPr>
                <w:rFonts w:ascii="宋体" w:hAnsi="宋体" w:cs="宋体"/>
                <w:color w:val="000000"/>
                <w:sz w:val="13"/>
                <w:szCs w:val="13"/>
                <w:lang w:bidi="ar"/>
              </w:rPr>
            </w:pPr>
            <w:r>
              <w:rPr>
                <w:rFonts w:ascii="宋体" w:hAnsi="宋体" w:cs="宋体"/>
                <w:color w:val="000000"/>
                <w:sz w:val="13"/>
                <w:szCs w:val="13"/>
                <w:lang w:bidi="ar"/>
              </w:rPr>
              <w:t>施耐德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4" w:type="dxa"/>
          </w:tcPr>
          <w:p>
            <w:pPr>
              <w:pStyle w:val="7"/>
              <w:ind w:firstLine="0" w:firstLineChars="0"/>
              <w:rPr>
                <w:rFonts w:ascii="宋体" w:hAnsi="宋体" w:cs="宋体"/>
                <w:color w:val="000000"/>
                <w:sz w:val="13"/>
                <w:szCs w:val="13"/>
                <w:lang w:bidi="ar"/>
              </w:rPr>
            </w:pPr>
            <w:r>
              <w:rPr>
                <w:rFonts w:hint="eastAsia" w:ascii="宋体" w:hAnsi="宋体" w:cs="宋体"/>
                <w:color w:val="000000"/>
                <w:sz w:val="13"/>
                <w:szCs w:val="13"/>
                <w:lang w:bidi="ar"/>
              </w:rPr>
              <w:t>合计</w:t>
            </w:r>
          </w:p>
        </w:tc>
        <w:tc>
          <w:tcPr>
            <w:tcW w:w="1701" w:type="dxa"/>
          </w:tcPr>
          <w:p>
            <w:pPr>
              <w:pStyle w:val="7"/>
              <w:ind w:firstLine="130"/>
              <w:rPr>
                <w:rFonts w:ascii="宋体" w:hAnsi="宋体" w:cs="宋体"/>
                <w:color w:val="000000"/>
                <w:sz w:val="13"/>
                <w:szCs w:val="13"/>
                <w:lang w:bidi="ar"/>
              </w:rPr>
            </w:pPr>
          </w:p>
        </w:tc>
        <w:tc>
          <w:tcPr>
            <w:tcW w:w="1134" w:type="dxa"/>
          </w:tcPr>
          <w:p>
            <w:pPr>
              <w:pStyle w:val="7"/>
              <w:ind w:firstLine="130"/>
              <w:rPr>
                <w:rFonts w:ascii="宋体" w:hAnsi="宋体" w:cs="宋体"/>
                <w:color w:val="000000"/>
                <w:sz w:val="13"/>
                <w:szCs w:val="13"/>
                <w:lang w:bidi="ar"/>
              </w:rPr>
            </w:pPr>
          </w:p>
        </w:tc>
        <w:tc>
          <w:tcPr>
            <w:tcW w:w="850" w:type="dxa"/>
          </w:tcPr>
          <w:p>
            <w:pPr>
              <w:pStyle w:val="7"/>
              <w:ind w:firstLine="130"/>
              <w:rPr>
                <w:rFonts w:ascii="宋体" w:hAnsi="宋体" w:cs="宋体"/>
                <w:color w:val="000000"/>
                <w:sz w:val="13"/>
                <w:szCs w:val="13"/>
                <w:lang w:bidi="ar"/>
              </w:rPr>
            </w:pPr>
          </w:p>
        </w:tc>
        <w:tc>
          <w:tcPr>
            <w:tcW w:w="851" w:type="dxa"/>
          </w:tcPr>
          <w:p>
            <w:pPr>
              <w:pStyle w:val="7"/>
              <w:ind w:firstLine="130"/>
              <w:rPr>
                <w:rFonts w:ascii="宋体" w:hAnsi="宋体" w:cs="宋体"/>
                <w:color w:val="000000"/>
                <w:sz w:val="13"/>
                <w:szCs w:val="13"/>
                <w:lang w:bidi="ar"/>
              </w:rPr>
            </w:pPr>
          </w:p>
        </w:tc>
        <w:tc>
          <w:tcPr>
            <w:tcW w:w="794" w:type="dxa"/>
          </w:tcPr>
          <w:p>
            <w:pPr>
              <w:pStyle w:val="7"/>
              <w:ind w:firstLine="130"/>
              <w:rPr>
                <w:rFonts w:ascii="宋体" w:hAnsi="宋体" w:cs="宋体"/>
                <w:color w:val="000000"/>
                <w:sz w:val="13"/>
                <w:szCs w:val="13"/>
                <w:lang w:bidi="ar"/>
              </w:rPr>
            </w:pPr>
          </w:p>
        </w:tc>
        <w:tc>
          <w:tcPr>
            <w:tcW w:w="888" w:type="dxa"/>
          </w:tcPr>
          <w:p>
            <w:pPr>
              <w:pStyle w:val="7"/>
              <w:ind w:firstLine="130"/>
              <w:rPr>
                <w:rFonts w:ascii="宋体" w:hAnsi="宋体" w:cs="宋体"/>
                <w:color w:val="000000"/>
                <w:sz w:val="13"/>
                <w:szCs w:val="13"/>
                <w:lang w:bidi="ar"/>
              </w:rPr>
            </w:pPr>
          </w:p>
        </w:tc>
        <w:tc>
          <w:tcPr>
            <w:tcW w:w="1177" w:type="dxa"/>
          </w:tcPr>
          <w:p>
            <w:pPr>
              <w:pStyle w:val="7"/>
              <w:ind w:firstLine="130"/>
              <w:rPr>
                <w:rFonts w:ascii="宋体" w:hAnsi="宋体" w:cs="宋体"/>
                <w:color w:val="000000"/>
                <w:sz w:val="13"/>
                <w:szCs w:val="13"/>
                <w:lang w:bidi="ar"/>
              </w:rPr>
            </w:pPr>
          </w:p>
        </w:tc>
        <w:tc>
          <w:tcPr>
            <w:tcW w:w="1154" w:type="dxa"/>
          </w:tcPr>
          <w:p>
            <w:pPr>
              <w:pStyle w:val="7"/>
              <w:ind w:firstLine="130"/>
              <w:jc w:val="center"/>
              <w:rPr>
                <w:rFonts w:ascii="宋体" w:hAnsi="宋体" w:cs="宋体"/>
                <w:color w:val="000000"/>
                <w:sz w:val="13"/>
                <w:szCs w:val="13"/>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83" w:type="dxa"/>
            <w:gridSpan w:val="9"/>
          </w:tcPr>
          <w:p>
            <w:pPr>
              <w:pStyle w:val="7"/>
              <w:ind w:firstLine="482" w:firstLineChars="200"/>
              <w:rPr>
                <w:rFonts w:hint="eastAsia" w:ascii="宋体" w:hAnsi="宋体" w:cs="宋体"/>
                <w:b/>
                <w:bCs/>
                <w:szCs w:val="24"/>
              </w:rPr>
            </w:pPr>
            <w:r>
              <w:rPr>
                <w:rFonts w:hint="eastAsia" w:ascii="宋体" w:hAnsi="宋体" w:cs="宋体"/>
                <w:b/>
                <w:bCs/>
                <w:szCs w:val="24"/>
              </w:rPr>
              <w:t>备注：</w:t>
            </w:r>
          </w:p>
          <w:p>
            <w:pPr>
              <w:pStyle w:val="7"/>
              <w:ind w:firstLine="482" w:firstLineChars="200"/>
              <w:rPr>
                <w:rFonts w:hint="eastAsia" w:ascii="宋体" w:hAnsi="宋体" w:cs="宋体"/>
                <w:b/>
                <w:bCs/>
                <w:szCs w:val="24"/>
              </w:rPr>
            </w:pPr>
            <w:r>
              <w:rPr>
                <w:rFonts w:hint="eastAsia" w:ascii="宋体" w:hAnsi="宋体" w:cs="宋体"/>
                <w:b/>
                <w:bCs/>
                <w:szCs w:val="24"/>
              </w:rPr>
              <w:t>1、根据现场查看情况进行报价，以上价格含设备、各种辅料、拆除、安装、吊车、叉车、调试及改造过程中产生的其他费用等各项费用，不包括基建；</w:t>
            </w:r>
          </w:p>
          <w:p>
            <w:pPr>
              <w:pStyle w:val="7"/>
              <w:ind w:firstLine="482" w:firstLineChars="200"/>
              <w:rPr>
                <w:rFonts w:hint="eastAsia" w:ascii="宋体" w:hAnsi="宋体" w:cs="宋体"/>
                <w:b/>
                <w:bCs/>
                <w:szCs w:val="24"/>
              </w:rPr>
            </w:pPr>
            <w:r>
              <w:rPr>
                <w:rFonts w:hint="eastAsia" w:ascii="宋体" w:hAnsi="宋体" w:cs="宋体"/>
                <w:b/>
                <w:bCs/>
                <w:szCs w:val="24"/>
              </w:rPr>
              <w:t>2、改造过程中拆除的所有设备设施均为招标方所有，未经招标方同意，任何人不得私自处理变卖；</w:t>
            </w:r>
          </w:p>
          <w:p>
            <w:pPr>
              <w:pStyle w:val="7"/>
              <w:ind w:firstLine="482" w:firstLineChars="200"/>
              <w:rPr>
                <w:rFonts w:ascii="宋体" w:hAnsi="宋体" w:cs="宋体"/>
                <w:szCs w:val="24"/>
              </w:rPr>
            </w:pPr>
            <w:r>
              <w:rPr>
                <w:rFonts w:hint="eastAsia" w:ascii="宋体" w:hAnsi="宋体" w:cs="宋体"/>
                <w:b/>
                <w:bCs/>
                <w:szCs w:val="24"/>
                <w:highlight w:val="none"/>
              </w:rPr>
              <w:t>3、中标方合同签署后15天完成标的物筹备，等候招标方施工通知，中标方接到招标方通知后36小时内完成标的物的安装调试。</w:t>
            </w:r>
          </w:p>
        </w:tc>
      </w:tr>
    </w:tbl>
    <w:p>
      <w:pPr>
        <w:pStyle w:val="7"/>
        <w:ind w:firstLine="240"/>
        <w:rPr>
          <w:rFonts w:ascii="宋体" w:hAnsi="宋体" w:cs="宋体"/>
          <w:szCs w:val="24"/>
        </w:rPr>
      </w:pPr>
    </w:p>
    <w:p>
      <w:pPr>
        <w:spacing w:line="360" w:lineRule="auto"/>
        <w:rPr>
          <w:rFonts w:asciiTheme="minorEastAsia" w:hAnsiTheme="minorEastAsia" w:eastAsiaTheme="minorEastAsia" w:cstheme="minorEastAsia"/>
          <w:bCs/>
          <w:color w:val="000000" w:themeColor="text1"/>
          <w:sz w:val="28"/>
          <w:szCs w:val="28"/>
          <w14:textFill>
            <w14:solidFill>
              <w14:schemeClr w14:val="tx1"/>
            </w14:solidFill>
          </w14:textFill>
        </w:rPr>
      </w:pPr>
      <w:r>
        <w:rPr>
          <w:rFonts w:hint="eastAsia" w:asciiTheme="minorEastAsia" w:hAnsiTheme="minorEastAsia" w:eastAsiaTheme="minorEastAsia" w:cstheme="minorEastAsia"/>
          <w:bCs/>
          <w:sz w:val="28"/>
          <w:szCs w:val="28"/>
          <w:lang w:val="zh-CN"/>
        </w:rPr>
        <w:t>四、技术</w:t>
      </w:r>
      <w:r>
        <w:rPr>
          <w:rFonts w:hint="eastAsia" w:asciiTheme="minorEastAsia" w:hAnsiTheme="minorEastAsia" w:eastAsiaTheme="minorEastAsia" w:cstheme="minorEastAsia"/>
          <w:bCs/>
          <w:sz w:val="28"/>
          <w:szCs w:val="28"/>
        </w:rPr>
        <w:t>要求</w:t>
      </w:r>
    </w:p>
    <w:p>
      <w:pPr>
        <w:tabs>
          <w:tab w:val="left" w:pos="753"/>
        </w:tabs>
        <w:spacing w:line="360" w:lineRule="auto"/>
        <w:rPr>
          <w:rFonts w:asciiTheme="minorEastAsia" w:hAnsiTheme="minorEastAsia" w:eastAsiaTheme="minorEastAsia" w:cstheme="minorEastAsia"/>
          <w:bCs/>
          <w:sz w:val="28"/>
          <w:szCs w:val="28"/>
        </w:rPr>
      </w:pPr>
      <w:r>
        <w:rPr>
          <w:rFonts w:hint="eastAsia" w:asciiTheme="minorEastAsia" w:hAnsiTheme="minorEastAsia" w:eastAsiaTheme="minorEastAsia" w:cstheme="minorEastAsia"/>
          <w:bCs/>
          <w:sz w:val="28"/>
          <w:szCs w:val="28"/>
        </w:rPr>
        <w:t>1、技术标准</w:t>
      </w:r>
    </w:p>
    <w:p>
      <w:pPr>
        <w:pStyle w:val="42"/>
        <w:spacing w:beforeLines="0"/>
        <w:ind w:firstLine="560" w:firstLineChars="200"/>
        <w:rPr>
          <w:rFonts w:asciiTheme="minorEastAsia" w:hAnsiTheme="minorEastAsia" w:eastAsiaTheme="minorEastAsia" w:cstheme="minorEastAsia"/>
          <w:b w:val="0"/>
          <w:bCs/>
          <w:sz w:val="28"/>
          <w:szCs w:val="28"/>
        </w:rPr>
      </w:pPr>
      <w:bookmarkStart w:id="4" w:name="_Toc4923"/>
      <w:bookmarkStart w:id="5" w:name="_Toc30545"/>
      <w:r>
        <w:rPr>
          <w:rFonts w:hint="eastAsia" w:asciiTheme="minorEastAsia" w:hAnsiTheme="minorEastAsia" w:eastAsiaTheme="minorEastAsia" w:cstheme="minorEastAsia"/>
          <w:b w:val="0"/>
          <w:bCs/>
          <w:sz w:val="28"/>
          <w:szCs w:val="28"/>
        </w:rPr>
        <w:t>投标人应使用最新颁布执行的国家标准、行业标准和IEC标准，在招标人同意时可以使用其他性能更高的标准。行业标准中已对产品质量分等作出规定的条款，投标人所提供的产品性能应达到优等品的标准。</w:t>
      </w:r>
      <w:bookmarkEnd w:id="4"/>
      <w:bookmarkEnd w:id="5"/>
    </w:p>
    <w:p>
      <w:pPr>
        <w:pStyle w:val="42"/>
        <w:spacing w:beforeLines="0"/>
        <w:rPr>
          <w:rFonts w:asciiTheme="minorEastAsia" w:hAnsiTheme="minorEastAsia" w:eastAsiaTheme="minorEastAsia" w:cstheme="minorEastAsia"/>
          <w:sz w:val="28"/>
          <w:szCs w:val="28"/>
        </w:rPr>
      </w:pPr>
      <w:bookmarkStart w:id="6" w:name="_Toc23543"/>
      <w:bookmarkStart w:id="7" w:name="_Toc13827"/>
      <w:r>
        <w:rPr>
          <w:rFonts w:hint="eastAsia" w:asciiTheme="minorEastAsia" w:hAnsiTheme="minorEastAsia" w:eastAsiaTheme="minorEastAsia" w:cstheme="minorEastAsia"/>
          <w:sz w:val="28"/>
          <w:szCs w:val="28"/>
        </w:rPr>
        <w:t>2、低压柜内主要元器件技术要求：</w:t>
      </w:r>
      <w:bookmarkEnd w:id="6"/>
      <w:bookmarkEnd w:id="7"/>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xml:space="preserve">   </w:t>
      </w:r>
      <w:bookmarkStart w:id="8" w:name="OLE_LINK5"/>
      <w:bookmarkStart w:id="9" w:name="_Toc12998"/>
      <w:bookmarkStart w:id="10" w:name="_Toc15717"/>
      <w:r>
        <w:rPr>
          <w:rFonts w:hint="eastAsia" w:asciiTheme="minorEastAsia" w:hAnsiTheme="minorEastAsia" w:eastAsiaTheme="minorEastAsia" w:cstheme="minorEastAsia"/>
          <w:b w:val="0"/>
          <w:sz w:val="28"/>
          <w:szCs w:val="28"/>
        </w:rPr>
        <w:t>（1）</w:t>
      </w:r>
      <w:bookmarkEnd w:id="8"/>
      <w:r>
        <w:rPr>
          <w:rFonts w:hint="eastAsia" w:asciiTheme="minorEastAsia" w:hAnsiTheme="minorEastAsia" w:eastAsiaTheme="minorEastAsia" w:cstheme="minorEastAsia"/>
          <w:b w:val="0"/>
          <w:sz w:val="28"/>
          <w:szCs w:val="28"/>
        </w:rPr>
        <w:t>、开关柜柜内一、二次元器件、断路器型号、各断路器分断容量及脱扣器附件等性能、参数符合IEC60947-2及GB14048断路器标准，满足技术要求。</w:t>
      </w:r>
      <w:bookmarkEnd w:id="9"/>
      <w:bookmarkEnd w:id="10"/>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xml:space="preserve"> </w:t>
      </w:r>
      <w:bookmarkStart w:id="11" w:name="_Toc4735"/>
      <w:bookmarkStart w:id="12" w:name="_Toc25558"/>
      <w:r>
        <w:rPr>
          <w:rFonts w:hint="eastAsia" w:asciiTheme="minorEastAsia" w:hAnsiTheme="minorEastAsia" w:eastAsiaTheme="minorEastAsia" w:cstheme="minorEastAsia"/>
          <w:b w:val="0"/>
          <w:sz w:val="28"/>
          <w:szCs w:val="28"/>
        </w:rPr>
        <w:t xml:space="preserve"> （2）、塑壳断路器</w:t>
      </w:r>
      <w:bookmarkEnd w:id="11"/>
      <w:bookmarkEnd w:id="12"/>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xml:space="preserve">     </w:t>
      </w:r>
      <w:bookmarkStart w:id="13" w:name="_Toc487"/>
      <w:bookmarkStart w:id="14" w:name="_Toc25892"/>
      <w:r>
        <w:rPr>
          <w:rFonts w:hint="eastAsia" w:asciiTheme="minorEastAsia" w:hAnsiTheme="minorEastAsia" w:eastAsiaTheme="minorEastAsia" w:cstheme="minorEastAsia"/>
          <w:b w:val="0"/>
          <w:sz w:val="28"/>
          <w:szCs w:val="28"/>
        </w:rPr>
        <w:t>塑壳断路器采用固定式, 脱扣器采用热磁脱扣器；为更好保证系统稳定及维护使用安全，全系列塑壳断路器应为零飞弧的限流型断路器，短路故障时要求最短时间内脱扣，并且具有优良的绝缘特性。</w:t>
      </w:r>
      <w:bookmarkEnd w:id="13"/>
      <w:bookmarkEnd w:id="14"/>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电气性能要求</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绝缘性能：需具备良好的绝缘电阻，在正常和规定的潮湿等条件下，能承受规定的工频耐压和冲击耐压试验，无击穿、闪络等现象。</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温升：在额定电流下长期工作时，各部件的温升不应超过规定限值，以保证其性能和使用寿命。</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短路性能：能在规定的短路电流下，可靠地分断电路，具备足够的动稳定性和热稳定性，确保触头不熔焊、各部件不损坏。</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机械性能要求</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操作性能：操作机构应灵活可靠，能在规定的操作电压和操作频率下，顺利进行合闸、分闸操作，且操作力不应过大。</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机械寿命：在规定的操作条件下，应能完成一定次数的无载操作循环，如一般要求达到5000次以上。</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防护等级：通常要求达到IP30及以上的防护等级，防止大于2.5mm的固体异物进入内部，影响其正常工作。</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环境适应性要求</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温度范围：一般要求能在-5℃～40℃的环境温度下正常工作，在低温时不应出现拒动等现象，高温时性能不应下降。</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湿度要求：在相对湿度较高的环境中，如90%以下，能正常工作，不出现绝缘性能下降、部件锈蚀等问题。</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海拔高度：在海拔2000m及以下，应能保证其性能符合标准要求，对于更高海拔地区使用的产品，需进行特殊设计和试验。</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其他要求</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电磁兼容性：应满足电磁骚扰和抗电磁干扰的相关标准要求，防止对其他设备产生干扰，同时自身在电磁环境中能稳定工作。</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标志与标识：产品外壳上应清晰地标注额定电压、额定电流、额定短路分断能力等主要技术参数，以及产品型号、生产厂家等信息，便于用户识别和使用。</w:t>
      </w:r>
    </w:p>
    <w:p>
      <w:pPr>
        <w:pStyle w:val="42"/>
        <w:spacing w:beforeLines="0"/>
        <w:rPr>
          <w:rFonts w:asciiTheme="minorEastAsia" w:hAnsiTheme="minorEastAsia" w:eastAsiaTheme="minorEastAsia" w:cstheme="minorEastAsia"/>
          <w:b w:val="0"/>
          <w:sz w:val="28"/>
          <w:szCs w:val="28"/>
          <w:highlight w:val="yellow"/>
        </w:rPr>
      </w:pPr>
      <w:r>
        <w:rPr>
          <w:rFonts w:hint="eastAsia" w:asciiTheme="minorEastAsia" w:hAnsiTheme="minorEastAsia" w:eastAsiaTheme="minorEastAsia" w:cstheme="minorEastAsia"/>
          <w:b w:val="0"/>
          <w:sz w:val="28"/>
          <w:szCs w:val="28"/>
        </w:rPr>
        <w:t xml:space="preserve">（3）、 </w:t>
      </w:r>
      <w:bookmarkStart w:id="15" w:name="_Toc28814"/>
      <w:bookmarkStart w:id="16" w:name="_Toc18163"/>
      <w:r>
        <w:rPr>
          <w:rFonts w:hint="eastAsia" w:asciiTheme="minorEastAsia" w:hAnsiTheme="minorEastAsia" w:eastAsiaTheme="minorEastAsia" w:cstheme="minorEastAsia"/>
          <w:b w:val="0"/>
          <w:sz w:val="28"/>
          <w:szCs w:val="28"/>
        </w:rPr>
        <w:t>母排应采用优质电工铜母排，母线相序色标按最新国际表示。</w:t>
      </w:r>
      <w:bookmarkEnd w:id="15"/>
      <w:bookmarkEnd w:id="16"/>
    </w:p>
    <w:p>
      <w:pPr>
        <w:pStyle w:val="42"/>
        <w:spacing w:beforeLines="0"/>
        <w:ind w:firstLine="560" w:firstLineChars="200"/>
        <w:rPr>
          <w:rFonts w:asciiTheme="minorEastAsia" w:hAnsiTheme="minorEastAsia" w:eastAsiaTheme="minorEastAsia" w:cstheme="minorEastAsia"/>
          <w:b w:val="0"/>
          <w:sz w:val="28"/>
          <w:szCs w:val="28"/>
        </w:rPr>
      </w:pPr>
      <w:bookmarkStart w:id="17" w:name="_Toc16706"/>
      <w:bookmarkStart w:id="18" w:name="_Toc2011"/>
      <w:r>
        <w:rPr>
          <w:rFonts w:hint="eastAsia" w:asciiTheme="minorEastAsia" w:hAnsiTheme="minorEastAsia" w:eastAsiaTheme="minorEastAsia" w:cstheme="minorEastAsia"/>
          <w:b w:val="0"/>
          <w:sz w:val="28"/>
          <w:szCs w:val="28"/>
        </w:rPr>
        <w:t>主母线、分支母线及接头，都应予绝缘。主母线支持件和母线绝缘物，为不吸潮、阻燃、长寿命的并能耐受规定的环境条件产品。在设备的使用寿命内，其机械强度和电气性能应基本保持不变。主母线、分支母线及接头，都套有与三相颜色相对应色彩的热缩套管予以防护。</w:t>
      </w:r>
      <w:bookmarkEnd w:id="17"/>
      <w:bookmarkEnd w:id="18"/>
    </w:p>
    <w:p>
      <w:pPr>
        <w:pStyle w:val="42"/>
        <w:spacing w:beforeLines="0"/>
        <w:ind w:firstLine="560" w:firstLineChars="200"/>
        <w:rPr>
          <w:rFonts w:asciiTheme="minorEastAsia" w:hAnsiTheme="minorEastAsia" w:eastAsiaTheme="minorEastAsia" w:cstheme="minorEastAsia"/>
          <w:b w:val="0"/>
          <w:sz w:val="28"/>
          <w:szCs w:val="28"/>
        </w:rPr>
      </w:pPr>
      <w:bookmarkStart w:id="19" w:name="_Toc28122"/>
      <w:bookmarkStart w:id="20" w:name="_Toc4833"/>
      <w:r>
        <w:rPr>
          <w:rFonts w:hint="eastAsia" w:asciiTheme="minorEastAsia" w:hAnsiTheme="minorEastAsia" w:eastAsiaTheme="minorEastAsia" w:cstheme="minorEastAsia"/>
          <w:b w:val="0"/>
          <w:sz w:val="28"/>
          <w:szCs w:val="28"/>
        </w:rPr>
        <w:t>母线材料应选高导电率的铜材料制造，母排材质自身要有良好的热传导性能，利于热量散发，。母排之间的连接方式有螺栓连接、焊接等。螺栓连接时，螺栓规格、紧固力矩要严格控制，当采用螺栓连接时，每个接头应不少于两个螺栓。螺栓连接的方法，应在不限制使用寿命的期间内，从标准的额定环境温度到额定满载温度范围内，螺孔周围的初始接触压力应大体保持不变。</w:t>
      </w:r>
      <w:bookmarkEnd w:id="19"/>
      <w:bookmarkEnd w:id="20"/>
      <w:r>
        <w:rPr>
          <w:rFonts w:hint="eastAsia" w:asciiTheme="minorEastAsia" w:hAnsiTheme="minorEastAsia" w:eastAsiaTheme="minorEastAsia" w:cstheme="minorEastAsia"/>
          <w:b w:val="0"/>
          <w:sz w:val="28"/>
          <w:szCs w:val="28"/>
        </w:rPr>
        <w:t>焊接连接要求焊缝饱满、无气孔、夹杂等缺陷，保证电流顺畅通过。无论是哪种连接方式，连接部位的过渡电阻都应极小，理想情况接近零，避免电能损耗与局部过热，需定期检测，若超出标准值（如单处连接过渡电阻大于 10μΩ）要及时处理。</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xml:space="preserve">    </w:t>
      </w:r>
      <w:bookmarkStart w:id="21" w:name="_Toc7883"/>
      <w:bookmarkStart w:id="22" w:name="_Toc5790"/>
      <w:r>
        <w:rPr>
          <w:rFonts w:hint="eastAsia" w:asciiTheme="minorEastAsia" w:hAnsiTheme="minorEastAsia" w:eastAsiaTheme="minorEastAsia" w:cstheme="minorEastAsia"/>
          <w:b w:val="0"/>
          <w:sz w:val="28"/>
          <w:szCs w:val="28"/>
        </w:rPr>
        <w:t>母线之间的连接应保证足够的面积和压力，但不应使母线变形。振动和温度变化不应影响母线连接部位的接触。</w:t>
      </w:r>
      <w:bookmarkEnd w:id="21"/>
      <w:bookmarkEnd w:id="22"/>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xml:space="preserve">    </w:t>
      </w:r>
      <w:bookmarkStart w:id="23" w:name="_Toc29034"/>
      <w:bookmarkStart w:id="24" w:name="_Toc12477"/>
      <w:r>
        <w:rPr>
          <w:rFonts w:hint="eastAsia" w:asciiTheme="minorEastAsia" w:hAnsiTheme="minorEastAsia" w:eastAsiaTheme="minorEastAsia" w:cstheme="minorEastAsia"/>
          <w:b w:val="0"/>
          <w:sz w:val="28"/>
          <w:szCs w:val="28"/>
        </w:rPr>
        <w:t>母线和主电路连接件的带电部件之间及其接地金属构件的爬电距离和电气间隙应不小于20mm。</w:t>
      </w:r>
      <w:bookmarkEnd w:id="23"/>
      <w:bookmarkEnd w:id="24"/>
      <w:r>
        <w:rPr>
          <w:rFonts w:hint="eastAsia" w:asciiTheme="minorEastAsia" w:hAnsiTheme="minorEastAsia" w:eastAsiaTheme="minorEastAsia" w:cstheme="minorEastAsia"/>
          <w:b w:val="0"/>
          <w:sz w:val="28"/>
          <w:szCs w:val="28"/>
        </w:rPr>
        <w:t>依据电压等级，母排间、母排与柜体间必须保证足够的电气间隙和爬电距离，防止高压击穿、漏电。</w:t>
      </w:r>
    </w:p>
    <w:p>
      <w:pPr>
        <w:pStyle w:val="42"/>
        <w:spacing w:beforeLines="0"/>
        <w:rPr>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b w:val="0"/>
          <w:sz w:val="28"/>
          <w:szCs w:val="28"/>
        </w:rPr>
        <w:t xml:space="preserve">    </w:t>
      </w:r>
      <w:bookmarkStart w:id="25" w:name="_Toc30477"/>
      <w:bookmarkStart w:id="26" w:name="_Toc27752"/>
      <w:r>
        <w:rPr>
          <w:rFonts w:hint="eastAsia" w:asciiTheme="minorEastAsia" w:hAnsiTheme="minorEastAsia" w:eastAsiaTheme="minorEastAsia" w:cstheme="minorEastAsia"/>
          <w:b w:val="0"/>
          <w:sz w:val="28"/>
          <w:szCs w:val="28"/>
        </w:rPr>
        <w:t>铜母线应搭接部位要求采取防腐蚀，耐高温，防氧化措施。</w:t>
      </w:r>
      <w:bookmarkEnd w:id="25"/>
      <w:bookmarkEnd w:id="26"/>
    </w:p>
    <w:p>
      <w:pPr>
        <w:ind w:firstLine="560" w:firstLineChars="200"/>
        <w:rPr>
          <w:rFonts w:asciiTheme="minorEastAsia" w:hAnsiTheme="minorEastAsia" w:eastAsiaTheme="minorEastAsia" w:cstheme="minorEastAsia"/>
          <w:sz w:val="28"/>
          <w:szCs w:val="28"/>
        </w:rPr>
      </w:pPr>
      <w:bookmarkStart w:id="27" w:name="_Toc12358"/>
      <w:bookmarkStart w:id="28" w:name="_Toc24847"/>
      <w:r>
        <w:rPr>
          <w:rFonts w:hint="eastAsia" w:asciiTheme="minorEastAsia" w:hAnsiTheme="minorEastAsia" w:eastAsiaTheme="minorEastAsia" w:cstheme="minorEastAsia"/>
          <w:sz w:val="28"/>
          <w:szCs w:val="28"/>
        </w:rPr>
        <w:t>所有导体的支持件，应能耐受相当于它所连接的断路器的最大额定开断电流所引起的应力。</w:t>
      </w:r>
      <w:bookmarkEnd w:id="27"/>
      <w:bookmarkEnd w:id="28"/>
      <w:r>
        <w:rPr>
          <w:rFonts w:hint="eastAsia" w:asciiTheme="minorEastAsia" w:hAnsiTheme="minorEastAsia" w:eastAsiaTheme="minorEastAsia" w:cstheme="minorEastAsia"/>
          <w:sz w:val="28"/>
          <w:szCs w:val="28"/>
        </w:rPr>
        <w:t>能承受系统短路瞬间的冲击电流，在规定时间内不发生熔断、变形等不可修复的损坏，保障电气系统在短路故障下的应急处理能力与稳定性。</w:t>
      </w:r>
    </w:p>
    <w:p>
      <w:pPr>
        <w:ind w:firstLine="560" w:firstLineChars="200"/>
        <w:rPr>
          <w:sz w:val="28"/>
          <w:szCs w:val="28"/>
        </w:rPr>
      </w:pPr>
      <w:r>
        <w:rPr>
          <w:rFonts w:hint="eastAsia"/>
          <w:sz w:val="28"/>
          <w:szCs w:val="28"/>
        </w:rPr>
        <w:t>在复杂电气系统中，母排要与断路器、接触器、变压器等各类设备良好兼容，接口标准统一，电流承载能力适配，保障整个电气系统协同、高效运行。</w:t>
      </w:r>
    </w:p>
    <w:p>
      <w:pPr>
        <w:pStyle w:val="42"/>
        <w:spacing w:beforeLines="0"/>
        <w:rPr>
          <w:rFonts w:ascii="宋体" w:hAnsi="宋体" w:eastAsia="宋体" w:cs="宋体"/>
          <w:b w:val="0"/>
          <w:bCs/>
          <w:sz w:val="28"/>
          <w:szCs w:val="28"/>
        </w:rPr>
      </w:pPr>
      <w:bookmarkStart w:id="29" w:name="_Toc25088"/>
      <w:bookmarkStart w:id="30" w:name="_Toc384102414"/>
      <w:bookmarkStart w:id="31" w:name="_Toc405204667"/>
      <w:bookmarkStart w:id="32" w:name="_Toc2201"/>
      <w:bookmarkStart w:id="33" w:name="_Toc416190240"/>
      <w:bookmarkStart w:id="34" w:name="_Toc416190167"/>
      <w:r>
        <w:rPr>
          <w:rFonts w:hint="eastAsia" w:ascii="宋体" w:hAnsi="宋体" w:eastAsia="宋体" w:cs="宋体"/>
          <w:b w:val="0"/>
          <w:bCs/>
          <w:sz w:val="28"/>
          <w:szCs w:val="28"/>
        </w:rPr>
        <w:t>3、高压开关柜柜体技术要求</w:t>
      </w:r>
      <w:bookmarkEnd w:id="29"/>
      <w:bookmarkEnd w:id="30"/>
      <w:bookmarkEnd w:id="31"/>
      <w:bookmarkEnd w:id="32"/>
      <w:bookmarkEnd w:id="33"/>
      <w:bookmarkEnd w:id="34"/>
    </w:p>
    <w:p>
      <w:pPr>
        <w:pStyle w:val="42"/>
        <w:spacing w:beforeLines="0"/>
        <w:rPr>
          <w:rFonts w:ascii="宋体" w:hAnsi="宋体" w:eastAsia="宋体" w:cs="宋体"/>
          <w:b w:val="0"/>
          <w:sz w:val="28"/>
          <w:szCs w:val="28"/>
        </w:rPr>
      </w:pPr>
      <w:r>
        <w:rPr>
          <w:rFonts w:hint="eastAsia" w:ascii="宋体" w:hAnsi="宋体" w:eastAsia="宋体" w:cs="宋体"/>
          <w:b w:val="0"/>
          <w:sz w:val="28"/>
          <w:szCs w:val="28"/>
        </w:rPr>
        <w:t xml:space="preserve">  </w:t>
      </w:r>
      <w:bookmarkStart w:id="35" w:name="_Toc25595"/>
      <w:bookmarkStart w:id="36" w:name="_Toc20699"/>
      <w:r>
        <w:rPr>
          <w:rFonts w:hint="eastAsia" w:ascii="宋体" w:hAnsi="宋体" w:eastAsia="宋体" w:cs="宋体"/>
          <w:b w:val="0"/>
          <w:sz w:val="28"/>
          <w:szCs w:val="28"/>
        </w:rPr>
        <w:t>（1）、电气性能：规格型号:KYN61-40.5，额定电压：35kV，最高运行电压40.5kV。额定频率：50Hz额定电流：根据实际需求确定。绝缘水平：工频耐受电压（1min）相对地及相间95kV，断口110kV；雷电冲击耐受电压（峰值）相对地及相间185kV，断口200kV。</w:t>
      </w:r>
    </w:p>
    <w:p>
      <w:pPr>
        <w:rPr>
          <w:rFonts w:ascii="宋体" w:hAnsi="宋体" w:cs="宋体"/>
          <w:sz w:val="28"/>
          <w:szCs w:val="28"/>
        </w:rPr>
      </w:pPr>
      <w:r>
        <w:rPr>
          <w:rFonts w:hint="eastAsia" w:ascii="宋体" w:hAnsi="宋体" w:cs="宋体"/>
          <w:sz w:val="28"/>
          <w:szCs w:val="28"/>
        </w:rPr>
        <w:t>（2）、柜体结构：</w:t>
      </w:r>
    </w:p>
    <w:p>
      <w:pPr>
        <w:ind w:firstLine="280" w:firstLineChars="100"/>
        <w:rPr>
          <w:rFonts w:ascii="宋体" w:hAnsi="宋体" w:cs="宋体"/>
          <w:sz w:val="28"/>
          <w:szCs w:val="28"/>
        </w:rPr>
      </w:pPr>
      <w:r>
        <w:rPr>
          <w:rFonts w:hint="eastAsia" w:ascii="宋体" w:hAnsi="宋体" w:cs="宋体"/>
          <w:sz w:val="28"/>
          <w:szCs w:val="28"/>
        </w:rPr>
        <w:t>a 、材质与安装：柜体垂直地面安装，外壳和各功能单元之间的隔板采用敷铝锌板，板材厚度≥2.5mm。结构设计合理，分隔类型至少要达到三型分隔，能保证工作人员的安全，便于运行、维护、检修。开关柜必须是模块化组合拼装结构，外观整齐漂亮，结构形式为固定分隔式。为了保证机械强度，结构拼装时，应采用螺栓固定。所有柜门上应配置分合闸按钮或控制开关、多功能表、指示灯。</w:t>
      </w:r>
    </w:p>
    <w:p>
      <w:pPr>
        <w:ind w:firstLine="280" w:firstLineChars="100"/>
        <w:rPr>
          <w:rFonts w:ascii="宋体" w:hAnsi="宋体" w:cs="宋体"/>
          <w:sz w:val="28"/>
          <w:szCs w:val="28"/>
        </w:rPr>
      </w:pPr>
      <w:r>
        <w:rPr>
          <w:rFonts w:hint="eastAsia" w:ascii="宋体" w:hAnsi="宋体" w:cs="宋体"/>
          <w:sz w:val="28"/>
          <w:szCs w:val="28"/>
        </w:rPr>
        <w:t>b 、强度与刚度：柜体能承受短路时的电动力、热应力和安装元件时的机械外力，满足安装、吊装及运输要求。开关柜的柜架为垂直地面安装的自撑式结构。开关柜壳体的材质为优质：</w:t>
      </w:r>
    </w:p>
    <w:p>
      <w:pPr>
        <w:pStyle w:val="42"/>
        <w:spacing w:beforeLines="0"/>
        <w:ind w:firstLine="280" w:firstLineChars="100"/>
        <w:rPr>
          <w:rFonts w:ascii="宋体" w:hAnsi="宋体" w:eastAsia="宋体" w:cs="宋体"/>
          <w:b w:val="0"/>
          <w:sz w:val="28"/>
          <w:szCs w:val="28"/>
        </w:rPr>
      </w:pPr>
      <w:r>
        <w:rPr>
          <w:rFonts w:hint="eastAsia" w:ascii="宋体" w:hAnsi="宋体" w:eastAsia="宋体" w:cs="宋体"/>
          <w:b w:val="0"/>
          <w:bCs/>
          <w:sz w:val="28"/>
          <w:szCs w:val="28"/>
        </w:rPr>
        <w:t>c 、防护等级：各室之间不低于IP2X，各室对外不低于IP4X。开</w:t>
      </w:r>
      <w:r>
        <w:rPr>
          <w:rFonts w:hint="eastAsia" w:ascii="宋体" w:hAnsi="宋体" w:eastAsia="宋体" w:cs="宋体"/>
          <w:b w:val="0"/>
          <w:sz w:val="28"/>
          <w:szCs w:val="28"/>
        </w:rPr>
        <w:t>关柜外壳防护等级为IP4X 。能防止昆虫、小型爬行动物等进入。</w:t>
      </w:r>
    </w:p>
    <w:p>
      <w:pPr>
        <w:pStyle w:val="42"/>
        <w:spacing w:beforeLines="0"/>
        <w:ind w:firstLine="280" w:firstLineChars="100"/>
        <w:rPr>
          <w:rFonts w:ascii="宋体" w:hAnsi="宋体" w:eastAsia="宋体" w:cs="宋体"/>
          <w:b w:val="0"/>
          <w:sz w:val="28"/>
          <w:szCs w:val="28"/>
        </w:rPr>
      </w:pPr>
      <w:r>
        <w:rPr>
          <w:rFonts w:hint="eastAsia" w:ascii="宋体" w:hAnsi="宋体" w:eastAsia="宋体" w:cs="宋体"/>
          <w:b w:val="0"/>
          <w:sz w:val="28"/>
          <w:szCs w:val="28"/>
        </w:rPr>
        <w:t>d 、柜架和外壳应有足够的强度和刚度，应能承受柜内所安装元件自重以及操作和短路时所产生的机械应力和热应力，同时不因成套设备的吊装、运输等情况而损坏或影响开关柜及所安装元件的性能。所有金属结构件应做表面处理，包括框架、门板、顶板、侧板及各种隔板等的防护层表面处理采用聚酯环氧树脂粉末喷涂。</w:t>
      </w:r>
    </w:p>
    <w:p>
      <w:pPr>
        <w:pStyle w:val="42"/>
        <w:spacing w:beforeLines="0"/>
        <w:rPr>
          <w:rFonts w:ascii="宋体" w:hAnsi="宋体" w:eastAsia="宋体" w:cs="宋体"/>
          <w:sz w:val="28"/>
          <w:szCs w:val="28"/>
        </w:rPr>
      </w:pPr>
      <w:r>
        <w:rPr>
          <w:rFonts w:hint="eastAsia" w:ascii="宋体" w:hAnsi="宋体" w:eastAsia="宋体" w:cs="宋体"/>
          <w:b w:val="0"/>
          <w:sz w:val="28"/>
          <w:szCs w:val="28"/>
        </w:rPr>
        <w:t>外壳顶部应顶板遮盖，防止异物、水滴落下造成母线短路。</w:t>
      </w:r>
    </w:p>
    <w:p>
      <w:pPr>
        <w:rPr>
          <w:rFonts w:ascii="宋体" w:hAnsi="宋体" w:cs="宋体"/>
          <w:sz w:val="28"/>
          <w:szCs w:val="28"/>
        </w:rPr>
      </w:pPr>
      <w:r>
        <w:rPr>
          <w:rFonts w:hint="eastAsia" w:ascii="宋体" w:hAnsi="宋体" w:cs="宋体"/>
          <w:sz w:val="28"/>
          <w:szCs w:val="28"/>
        </w:rPr>
        <w:t>e、压力释放装置：开关柜的顶部、断路器室、母线室上方应设压力释放装置。</w:t>
      </w:r>
    </w:p>
    <w:p>
      <w:pPr>
        <w:rPr>
          <w:rFonts w:ascii="宋体" w:hAnsi="宋体" w:cs="宋体"/>
          <w:sz w:val="28"/>
          <w:szCs w:val="28"/>
        </w:rPr>
      </w:pPr>
      <w:r>
        <w:rPr>
          <w:rFonts w:hint="eastAsia" w:ascii="宋体" w:hAnsi="宋体" w:cs="宋体"/>
          <w:sz w:val="28"/>
          <w:szCs w:val="28"/>
        </w:rPr>
        <w:t>f、 绝缘活门：手车室与隔离触头室、架空出线室之间设绝缘活门，其它各室之间以接地的金属板隔开。</w:t>
      </w:r>
      <w:bookmarkEnd w:id="35"/>
      <w:bookmarkEnd w:id="36"/>
      <w:bookmarkStart w:id="37" w:name="_Toc14779"/>
      <w:bookmarkStart w:id="38" w:name="_Toc20142"/>
      <w:r>
        <w:rPr>
          <w:rFonts w:hint="eastAsia" w:ascii="宋体" w:hAnsi="宋体" w:cs="宋体"/>
          <w:sz w:val="28"/>
          <w:szCs w:val="28"/>
        </w:rPr>
        <w:t>柜架背面应设置防止直接触及带电元件的隔板（靠墙安装）或可拆卸门（不靠墙安装）。</w:t>
      </w:r>
      <w:bookmarkEnd w:id="37"/>
      <w:bookmarkEnd w:id="38"/>
    </w:p>
    <w:p>
      <w:pPr>
        <w:pStyle w:val="42"/>
        <w:spacing w:beforeLines="0"/>
        <w:rPr>
          <w:rFonts w:ascii="宋体" w:hAnsi="宋体" w:eastAsia="宋体" w:cs="宋体"/>
          <w:b w:val="0"/>
          <w:sz w:val="28"/>
          <w:szCs w:val="28"/>
        </w:rPr>
      </w:pPr>
      <w:r>
        <w:rPr>
          <w:rFonts w:hint="eastAsia" w:ascii="宋体" w:hAnsi="宋体" w:eastAsia="宋体" w:cs="宋体"/>
          <w:b w:val="0"/>
          <w:sz w:val="28"/>
          <w:szCs w:val="28"/>
        </w:rPr>
        <w:t xml:space="preserve"> g </w:t>
      </w:r>
      <w:bookmarkStart w:id="39" w:name="_Toc18606"/>
      <w:bookmarkStart w:id="40" w:name="_Toc18450"/>
      <w:r>
        <w:rPr>
          <w:rFonts w:hint="eastAsia" w:ascii="宋体" w:hAnsi="宋体" w:eastAsia="宋体" w:cs="宋体"/>
          <w:b w:val="0"/>
          <w:sz w:val="28"/>
          <w:szCs w:val="28"/>
        </w:rPr>
        <w:t>、柜体屏与屏之间应有隔板，以防止事故扩大。</w:t>
      </w:r>
      <w:bookmarkEnd w:id="39"/>
      <w:bookmarkEnd w:id="40"/>
      <w:r>
        <w:rPr>
          <w:rFonts w:hint="eastAsia" w:ascii="宋体" w:hAnsi="宋体" w:eastAsia="宋体" w:cs="宋体"/>
          <w:b w:val="0"/>
          <w:sz w:val="28"/>
          <w:szCs w:val="28"/>
        </w:rPr>
        <w:t>母线：材质为一级电解铜，母线应平整，表面无缺陷，弯曲处无裂纹或裂口，应采用表面镀银工艺，有消除尖端放电的措施，主母线及引下线需用绝缘包封。</w:t>
      </w:r>
      <w:bookmarkStart w:id="41" w:name="_Toc25314"/>
      <w:bookmarkStart w:id="42" w:name="_Toc3328"/>
      <w:r>
        <w:rPr>
          <w:rFonts w:hint="eastAsia" w:ascii="宋体" w:hAnsi="宋体" w:eastAsia="宋体" w:cs="宋体"/>
          <w:b w:val="0"/>
          <w:sz w:val="28"/>
          <w:szCs w:val="28"/>
        </w:rPr>
        <w:t>整个设计应有利于通风散热；框架、门板的板材．厚度不小于2mm。</w:t>
      </w:r>
      <w:bookmarkEnd w:id="41"/>
      <w:bookmarkEnd w:id="42"/>
    </w:p>
    <w:p>
      <w:pPr>
        <w:pStyle w:val="2"/>
        <w:ind w:firstLine="0" w:firstLineChars="0"/>
        <w:rPr>
          <w:rFonts w:ascii="宋体" w:hAnsi="宋体" w:eastAsia="宋体" w:cs="宋体"/>
          <w:sz w:val="28"/>
          <w:szCs w:val="28"/>
        </w:rPr>
      </w:pPr>
      <w:r>
        <w:rPr>
          <w:rFonts w:hint="eastAsia" w:ascii="宋体" w:hAnsi="宋体" w:eastAsia="宋体" w:cs="宋体"/>
          <w:sz w:val="28"/>
          <w:szCs w:val="28"/>
        </w:rPr>
        <w:t>h、保护与控制;</w:t>
      </w:r>
    </w:p>
    <w:p>
      <w:pPr>
        <w:pStyle w:val="2"/>
        <w:ind w:firstLine="560"/>
        <w:rPr>
          <w:rFonts w:ascii="宋体" w:hAnsi="宋体" w:eastAsia="宋体" w:cs="宋体"/>
          <w:sz w:val="28"/>
          <w:szCs w:val="28"/>
        </w:rPr>
      </w:pPr>
      <w:r>
        <w:rPr>
          <w:rFonts w:hint="eastAsia" w:ascii="宋体" w:hAnsi="宋体" w:eastAsia="宋体" w:cs="宋体"/>
          <w:sz w:val="28"/>
          <w:szCs w:val="28"/>
        </w:rPr>
        <w:t xml:space="preserve"> 保护装置：配置过电流保护、过电压保护等完善的保护装置。 </w:t>
      </w:r>
    </w:p>
    <w:p>
      <w:pPr>
        <w:pStyle w:val="2"/>
        <w:ind w:firstLine="560"/>
        <w:rPr>
          <w:rFonts w:ascii="宋体" w:hAnsi="宋体" w:eastAsia="宋体" w:cs="宋体"/>
          <w:sz w:val="28"/>
          <w:szCs w:val="28"/>
        </w:rPr>
      </w:pPr>
      <w:r>
        <w:rPr>
          <w:rFonts w:hint="eastAsia" w:ascii="宋体" w:hAnsi="宋体" w:eastAsia="宋体" w:cs="宋体"/>
          <w:sz w:val="28"/>
          <w:szCs w:val="28"/>
        </w:rPr>
        <w:t xml:space="preserve"> 控制电源：采用直流电源，电压等级一般为DC220V。</w:t>
      </w:r>
    </w:p>
    <w:p>
      <w:pPr>
        <w:pStyle w:val="2"/>
        <w:ind w:firstLine="560"/>
        <w:rPr>
          <w:rFonts w:ascii="宋体" w:hAnsi="宋体" w:eastAsia="宋体" w:cs="宋体"/>
          <w:sz w:val="28"/>
          <w:szCs w:val="28"/>
        </w:rPr>
      </w:pPr>
      <w:r>
        <w:rPr>
          <w:rFonts w:hint="eastAsia" w:ascii="宋体" w:hAnsi="宋体" w:eastAsia="宋体" w:cs="宋体"/>
          <w:sz w:val="28"/>
          <w:szCs w:val="28"/>
        </w:rPr>
        <w:t xml:space="preserve"> 防误操作：具备防止误分、合断路器，防止带负荷分、合隔离开关或隔离插头等“五防”功能。</w:t>
      </w:r>
    </w:p>
    <w:p>
      <w:pPr>
        <w:pStyle w:val="42"/>
        <w:spacing w:beforeLines="0"/>
        <w:rPr>
          <w:rFonts w:ascii="宋体" w:hAnsi="宋体" w:eastAsia="宋体" w:cs="宋体"/>
          <w:b w:val="0"/>
          <w:color w:val="0070C0"/>
          <w:sz w:val="28"/>
          <w:szCs w:val="28"/>
          <w:highlight w:val="yellow"/>
        </w:rPr>
      </w:pPr>
      <w:r>
        <w:rPr>
          <w:rFonts w:hint="eastAsia" w:ascii="宋体" w:hAnsi="宋体" w:eastAsia="宋体" w:cs="宋体"/>
          <w:b w:val="0"/>
          <w:sz w:val="28"/>
          <w:szCs w:val="28"/>
        </w:rPr>
        <w:t xml:space="preserve"> </w:t>
      </w:r>
      <w:bookmarkStart w:id="43" w:name="_Toc2839"/>
      <w:bookmarkStart w:id="44" w:name="_Toc11085"/>
      <w:r>
        <w:rPr>
          <w:rFonts w:hint="eastAsia" w:ascii="宋体" w:hAnsi="宋体" w:eastAsia="宋体" w:cs="宋体"/>
          <w:b w:val="0"/>
          <w:sz w:val="28"/>
          <w:szCs w:val="28"/>
        </w:rPr>
        <w:t>k、 所使用柜型应为全型式试验产品，并能提供相应的型式试验报告和3C证书。</w:t>
      </w:r>
      <w:bookmarkEnd w:id="43"/>
      <w:bookmarkEnd w:id="44"/>
      <w:bookmarkStart w:id="45" w:name="_Toc18848"/>
      <w:bookmarkStart w:id="46" w:name="_Toc2149"/>
      <w:r>
        <w:rPr>
          <w:rFonts w:hint="eastAsia" w:ascii="宋体" w:hAnsi="宋体" w:eastAsia="宋体" w:cs="宋体"/>
          <w:b w:val="0"/>
          <w:sz w:val="28"/>
          <w:szCs w:val="28"/>
        </w:rPr>
        <w:t>开关柜使用年限不小于30年。</w:t>
      </w:r>
      <w:bookmarkEnd w:id="45"/>
      <w:bookmarkEnd w:id="46"/>
    </w:p>
    <w:p>
      <w:pPr>
        <w:spacing w:line="360" w:lineRule="auto"/>
        <w:rPr>
          <w:rFonts w:ascii="宋体" w:hAnsi="宋体" w:cs="宋体"/>
          <w:sz w:val="28"/>
          <w:szCs w:val="28"/>
        </w:rPr>
      </w:pPr>
      <w:r>
        <w:rPr>
          <w:rFonts w:hint="eastAsia" w:ascii="宋体" w:hAnsi="宋体" w:cs="宋体"/>
          <w:sz w:val="28"/>
          <w:szCs w:val="28"/>
        </w:rPr>
        <w:t>五、有关说明</w:t>
      </w:r>
    </w:p>
    <w:p>
      <w:pPr>
        <w:pStyle w:val="10"/>
        <w:spacing w:line="360" w:lineRule="auto"/>
        <w:ind w:firstLine="560" w:firstLineChars="200"/>
        <w:rPr>
          <w:rFonts w:ascii="宋体" w:hAnsi="宋体" w:cs="宋体"/>
          <w:sz w:val="28"/>
          <w:szCs w:val="28"/>
        </w:rPr>
      </w:pPr>
      <w:r>
        <w:rPr>
          <w:rFonts w:hint="eastAsia" w:ascii="宋体" w:hAnsi="宋体" w:cs="宋体"/>
          <w:sz w:val="28"/>
          <w:szCs w:val="28"/>
        </w:rPr>
        <w:t>（1）投标人必须完成所有设备的供货、提供所有安装调试所需的设备及配套附材，要求到达安全及其相关规范要求。报价若有遗漏，均应免费提供，投标总价即为交付使用的价格。</w:t>
      </w:r>
    </w:p>
    <w:p>
      <w:pPr>
        <w:pStyle w:val="10"/>
        <w:spacing w:line="360" w:lineRule="auto"/>
        <w:ind w:firstLine="560" w:firstLineChars="200"/>
        <w:rPr>
          <w:rFonts w:ascii="宋体" w:hAnsi="宋体" w:cs="宋体"/>
          <w:sz w:val="28"/>
          <w:szCs w:val="28"/>
        </w:rPr>
      </w:pPr>
      <w:r>
        <w:rPr>
          <w:rFonts w:hint="eastAsia" w:ascii="宋体" w:hAnsi="宋体" w:cs="宋体"/>
          <w:sz w:val="28"/>
          <w:szCs w:val="28"/>
        </w:rPr>
        <w:t>（2）采购人不接受有选择的投标报价，投标报价为应包括货物的检验、包装、保险、运输、税金、图纸资料、技术服务、售后服务、培训等全部费用。投标人必须完成所有相关货物的供货、就位工作，提供所有货物交货时必备的资料、出厂合格证明、检验报告等，要求达到安全及其相关规范要求。</w:t>
      </w:r>
    </w:p>
    <w:p>
      <w:pPr>
        <w:pStyle w:val="8"/>
        <w:spacing w:after="0" w:line="360" w:lineRule="auto"/>
        <w:ind w:right="61" w:firstLine="560" w:firstLineChars="200"/>
        <w:rPr>
          <w:rFonts w:ascii="宋体" w:hAnsi="宋体" w:cs="宋体"/>
          <w:color w:val="0070C0"/>
          <w:sz w:val="24"/>
          <w:szCs w:val="24"/>
          <w:highlight w:val="yellow"/>
        </w:rPr>
      </w:pPr>
      <w:r>
        <w:rPr>
          <w:rFonts w:hint="eastAsia" w:ascii="宋体" w:hAnsi="宋体" w:cs="宋体"/>
          <w:sz w:val="28"/>
          <w:szCs w:val="28"/>
        </w:rPr>
        <w:t>（3）本招标文件中所提出的为标准工况下的技术要求，投标人在进行设计和制造时，除须满足本技术文件中所提的各项要求外，应同时满足该产品生产国的最新版的规范和标准的各项要求。</w:t>
      </w:r>
    </w:p>
    <w:p>
      <w:pPr>
        <w:pStyle w:val="3"/>
        <w:ind w:firstLine="560" w:firstLineChars="200"/>
        <w:outlineLvl w:val="0"/>
        <w:rPr>
          <w:rFonts w:ascii="宋体" w:hAnsi="宋体" w:eastAsia="宋体" w:cs="宋体"/>
          <w:sz w:val="28"/>
          <w:szCs w:val="28"/>
        </w:rPr>
      </w:pPr>
      <w:r>
        <w:rPr>
          <w:rFonts w:hint="eastAsia" w:ascii="宋体" w:hAnsi="宋体" w:eastAsia="宋体" w:cs="宋体"/>
          <w:sz w:val="28"/>
          <w:szCs w:val="28"/>
        </w:rPr>
        <w:t>2.2 技术及其他要求：</w:t>
      </w:r>
    </w:p>
    <w:p>
      <w:pPr>
        <w:pStyle w:val="3"/>
        <w:outlineLvl w:val="0"/>
        <w:rPr>
          <w:rFonts w:ascii="宋体" w:hAnsi="宋体" w:eastAsia="宋体" w:cs="宋体"/>
          <w:sz w:val="28"/>
          <w:szCs w:val="28"/>
        </w:rPr>
      </w:pPr>
      <w:r>
        <w:rPr>
          <w:rFonts w:hint="eastAsia" w:ascii="宋体" w:hAnsi="宋体" w:eastAsia="宋体" w:cs="宋体"/>
          <w:sz w:val="28"/>
          <w:szCs w:val="28"/>
        </w:rPr>
        <w:t>（1）质量标准：按国标生产。</w:t>
      </w:r>
    </w:p>
    <w:p>
      <w:pPr>
        <w:pStyle w:val="3"/>
        <w:outlineLvl w:val="0"/>
        <w:rPr>
          <w:rFonts w:ascii="宋体" w:hAnsi="宋体" w:cs="宋体"/>
          <w:sz w:val="24"/>
          <w:szCs w:val="24"/>
        </w:rPr>
      </w:pPr>
      <w:r>
        <w:rPr>
          <w:rFonts w:hint="eastAsia" w:ascii="宋体" w:hAnsi="宋体" w:eastAsia="宋体" w:cs="宋体"/>
          <w:sz w:val="28"/>
          <w:szCs w:val="28"/>
        </w:rPr>
        <w:t>（2）绝缘材料：绝缘层及护套层必须质量可靠，不得使用伪劣绝缘材料及再生材料，确保质量要求。</w:t>
      </w:r>
    </w:p>
    <w:p>
      <w:pPr>
        <w:spacing w:line="360" w:lineRule="auto"/>
        <w:jc w:val="left"/>
        <w:rPr>
          <w:rFonts w:ascii="宋体" w:hAnsi="宋体" w:cs="宋体"/>
          <w:b/>
          <w:bCs/>
          <w:sz w:val="28"/>
          <w:szCs w:val="28"/>
        </w:rPr>
      </w:pPr>
      <w:r>
        <w:rPr>
          <w:rFonts w:hint="eastAsia" w:ascii="宋体" w:hAnsi="宋体" w:cs="宋体"/>
          <w:b/>
          <w:bCs/>
          <w:sz w:val="28"/>
          <w:szCs w:val="28"/>
        </w:rPr>
        <w:t>六、售后服务</w:t>
      </w:r>
    </w:p>
    <w:p>
      <w:pPr>
        <w:spacing w:line="360" w:lineRule="auto"/>
        <w:ind w:firstLine="480" w:firstLineChars="200"/>
        <w:jc w:val="left"/>
        <w:rPr>
          <w:rFonts w:ascii="宋体" w:hAnsi="宋体" w:cs="宋体"/>
          <w:sz w:val="24"/>
        </w:rPr>
      </w:pPr>
      <w:r>
        <w:rPr>
          <w:rFonts w:hint="eastAsia" w:ascii="宋体" w:hAnsi="宋体" w:cs="宋体"/>
          <w:sz w:val="24"/>
        </w:rPr>
        <w:t>设备供应商需按照设备要求，安排专业人员对我公司相关人员进行操作、维保等培训。</w:t>
      </w:r>
    </w:p>
    <w:p>
      <w:pPr>
        <w:spacing w:line="360" w:lineRule="auto"/>
        <w:jc w:val="left"/>
        <w:rPr>
          <w:rFonts w:ascii="宋体" w:hAnsi="宋体" w:cs="宋体"/>
          <w:b/>
          <w:bCs/>
          <w:sz w:val="28"/>
          <w:szCs w:val="28"/>
        </w:rPr>
      </w:pPr>
      <w:r>
        <w:rPr>
          <w:rFonts w:hint="eastAsia" w:ascii="宋体" w:hAnsi="宋体" w:cs="宋体"/>
          <w:b/>
          <w:bCs/>
          <w:sz w:val="28"/>
          <w:szCs w:val="28"/>
        </w:rPr>
        <w:t>七、质量保证</w:t>
      </w:r>
    </w:p>
    <w:p>
      <w:pPr>
        <w:spacing w:line="360" w:lineRule="auto"/>
        <w:ind w:firstLine="480" w:firstLineChars="200"/>
        <w:jc w:val="left"/>
        <w:rPr>
          <w:rFonts w:ascii="宋体" w:hAnsi="宋体" w:cs="宋体"/>
          <w:sz w:val="24"/>
        </w:rPr>
      </w:pPr>
      <w:r>
        <w:rPr>
          <w:rFonts w:hint="eastAsia" w:ascii="宋体" w:hAnsi="宋体" w:cs="宋体"/>
          <w:sz w:val="24"/>
        </w:rPr>
        <w:t>设备保质期为一年，从工程验收合格之日起开始计算，在保质期期间要随时确保电力异常问题处理。</w:t>
      </w:r>
    </w:p>
    <w:p>
      <w:pPr>
        <w:pStyle w:val="7"/>
        <w:ind w:firstLine="0" w:firstLineChars="0"/>
        <w:rPr>
          <w:b/>
          <w:bCs/>
        </w:rPr>
      </w:pPr>
      <w:r>
        <w:rPr>
          <w:rFonts w:hint="eastAsia" w:ascii="宋体" w:hAnsi="宋体" w:cs="宋体"/>
          <w:b/>
          <w:bCs/>
          <w:sz w:val="28"/>
          <w:szCs w:val="28"/>
        </w:rPr>
        <w:t>八、合同模板</w:t>
      </w:r>
    </w:p>
    <w:p>
      <w:pPr>
        <w:spacing w:line="360" w:lineRule="auto"/>
        <w:ind w:firstLine="562" w:firstLineChars="200"/>
        <w:jc w:val="left"/>
        <w:rPr>
          <w:rFonts w:ascii="宋体" w:hAnsi="宋体" w:cs="宋体"/>
          <w:b/>
          <w:bCs/>
          <w:sz w:val="28"/>
          <w:szCs w:val="28"/>
          <w:u w:val="single"/>
        </w:rPr>
      </w:pPr>
      <w:r>
        <w:rPr>
          <w:rFonts w:hint="eastAsia" w:ascii="宋体" w:hAnsi="宋体" w:cs="宋体"/>
          <w:b/>
          <w:bCs/>
          <w:sz w:val="28"/>
          <w:szCs w:val="28"/>
          <w:u w:val="single"/>
        </w:rPr>
        <w:t>投标即默认我司合同模板</w:t>
      </w:r>
    </w:p>
    <w:p>
      <w:pPr>
        <w:snapToGrid w:val="0"/>
        <w:spacing w:before="312" w:beforeLines="100" w:after="312" w:afterLines="100" w:line="360" w:lineRule="auto"/>
        <w:ind w:right="-50" w:rightChars="-24"/>
        <w:jc w:val="center"/>
        <w:rPr>
          <w:rFonts w:ascii="仿宋" w:hAnsi="仿宋" w:eastAsia="仿宋" w:cs="仿宋"/>
          <w:b/>
          <w:bCs/>
          <w:sz w:val="36"/>
          <w:szCs w:val="36"/>
        </w:rPr>
      </w:pPr>
      <w:r>
        <w:rPr>
          <w:rFonts w:hint="eastAsia" w:ascii="仿宋" w:hAnsi="仿宋" w:eastAsia="仿宋" w:cs="仿宋"/>
          <w:b/>
          <w:bCs/>
          <w:sz w:val="36"/>
          <w:szCs w:val="36"/>
        </w:rPr>
        <w:t>XXX设备购销合同</w:t>
      </w:r>
    </w:p>
    <w:p>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 xml:space="preserve">甲方（采购方）：山东金宝电子有限公司 </w:t>
      </w:r>
    </w:p>
    <w:p>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 xml:space="preserve">                山东金都电子材料有限公司</w:t>
      </w:r>
    </w:p>
    <w:p>
      <w:pPr>
        <w:pStyle w:val="7"/>
        <w:ind w:firstLine="281"/>
      </w:pPr>
      <w:r>
        <w:rPr>
          <w:rFonts w:hint="eastAsia" w:ascii="仿宋" w:hAnsi="仿宋" w:eastAsia="仿宋" w:cs="仿宋"/>
          <w:b/>
          <w:sz w:val="28"/>
          <w:szCs w:val="28"/>
        </w:rPr>
        <w:t xml:space="preserve">                 金宝电子（铜陵）有限公司</w:t>
      </w:r>
    </w:p>
    <w:p>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乙方（供货方）： XXX公司</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经甲、乙双方友好协商，本着平等互利的原则，根据《中华人民共和国民法典》及相关法律的规定，就甲方向乙方购买以下设备达成如下协议：</w:t>
      </w:r>
    </w:p>
    <w:p>
      <w:pPr>
        <w:numPr>
          <w:ilvl w:val="0"/>
          <w:numId w:val="3"/>
        </w:num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设备名称、规格型号、数量、单价及合同额：</w:t>
      </w:r>
    </w:p>
    <w:tbl>
      <w:tblPr>
        <w:tblStyle w:val="16"/>
        <w:tblpPr w:leftFromText="180" w:rightFromText="180" w:vertAnchor="text" w:horzAnchor="page" w:tblpX="1574" w:tblpY="134"/>
        <w:tblOverlap w:val="never"/>
        <w:tblW w:w="9711" w:type="dxa"/>
        <w:tblInd w:w="0" w:type="dxa"/>
        <w:tblLayout w:type="fixed"/>
        <w:tblCellMar>
          <w:top w:w="0" w:type="dxa"/>
          <w:left w:w="108" w:type="dxa"/>
          <w:bottom w:w="0" w:type="dxa"/>
          <w:right w:w="108" w:type="dxa"/>
        </w:tblCellMar>
      </w:tblPr>
      <w:tblGrid>
        <w:gridCol w:w="735"/>
        <w:gridCol w:w="2150"/>
        <w:gridCol w:w="1210"/>
        <w:gridCol w:w="750"/>
        <w:gridCol w:w="1980"/>
        <w:gridCol w:w="1635"/>
        <w:gridCol w:w="1251"/>
      </w:tblGrid>
      <w:tr>
        <w:tblPrEx>
          <w:tblLayout w:type="fixed"/>
          <w:tblCellMar>
            <w:top w:w="0" w:type="dxa"/>
            <w:left w:w="108" w:type="dxa"/>
            <w:bottom w:w="0" w:type="dxa"/>
            <w:right w:w="108" w:type="dxa"/>
          </w:tblCellMar>
        </w:tblPrEx>
        <w:trPr>
          <w:trHeight w:val="1320" w:hRule="atLeast"/>
        </w:trPr>
        <w:tc>
          <w:tcPr>
            <w:tcW w:w="735" w:type="dxa"/>
            <w:tcBorders>
              <w:top w:val="single" w:color="000000" w:sz="8" w:space="0"/>
              <w:left w:val="single" w:color="000000" w:sz="8" w:space="0"/>
              <w:bottom w:val="single" w:color="000000" w:sz="8" w:space="0"/>
              <w:right w:val="single" w:color="000000" w:sz="8" w:space="0"/>
            </w:tcBorders>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序号</w:t>
            </w:r>
          </w:p>
        </w:tc>
        <w:tc>
          <w:tcPr>
            <w:tcW w:w="2150" w:type="dxa"/>
            <w:tcBorders>
              <w:top w:val="single" w:color="000000" w:sz="8" w:space="0"/>
              <w:left w:val="nil"/>
              <w:bottom w:val="single" w:color="000000" w:sz="8" w:space="0"/>
              <w:right w:val="single" w:color="000000" w:sz="8" w:space="0"/>
            </w:tcBorders>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项目名称</w:t>
            </w:r>
          </w:p>
        </w:tc>
        <w:tc>
          <w:tcPr>
            <w:tcW w:w="1210" w:type="dxa"/>
            <w:tcBorders>
              <w:top w:val="single" w:color="000000" w:sz="8" w:space="0"/>
              <w:left w:val="nil"/>
              <w:bottom w:val="single" w:color="000000" w:sz="8" w:space="0"/>
              <w:right w:val="single" w:color="000000" w:sz="8" w:space="0"/>
            </w:tcBorders>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单位</w:t>
            </w:r>
          </w:p>
        </w:tc>
        <w:tc>
          <w:tcPr>
            <w:tcW w:w="750" w:type="dxa"/>
            <w:tcBorders>
              <w:top w:val="single" w:color="000000" w:sz="8" w:space="0"/>
              <w:left w:val="nil"/>
              <w:bottom w:val="single" w:color="000000" w:sz="8" w:space="0"/>
              <w:right w:val="single" w:color="000000" w:sz="8" w:space="0"/>
            </w:tcBorders>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数量</w:t>
            </w:r>
          </w:p>
        </w:tc>
        <w:tc>
          <w:tcPr>
            <w:tcW w:w="1980" w:type="dxa"/>
            <w:tcBorders>
              <w:top w:val="single" w:color="000000" w:sz="8" w:space="0"/>
              <w:left w:val="nil"/>
              <w:bottom w:val="single" w:color="000000" w:sz="8" w:space="0"/>
              <w:right w:val="single" w:color="000000" w:sz="8" w:space="0"/>
            </w:tcBorders>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单价（元）</w:t>
            </w:r>
          </w:p>
        </w:tc>
        <w:tc>
          <w:tcPr>
            <w:tcW w:w="1635" w:type="dxa"/>
            <w:tcBorders>
              <w:top w:val="single" w:color="000000" w:sz="8" w:space="0"/>
              <w:left w:val="nil"/>
              <w:bottom w:val="single" w:color="000000" w:sz="8" w:space="0"/>
              <w:right w:val="single" w:color="000000" w:sz="8" w:space="0"/>
            </w:tcBorders>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总价（元）</w:t>
            </w:r>
          </w:p>
        </w:tc>
        <w:tc>
          <w:tcPr>
            <w:tcW w:w="1251" w:type="dxa"/>
            <w:tcBorders>
              <w:top w:val="single" w:color="000000" w:sz="8" w:space="0"/>
              <w:left w:val="nil"/>
              <w:bottom w:val="single" w:color="000000" w:sz="8" w:space="0"/>
              <w:right w:val="single" w:color="000000" w:sz="8" w:space="0"/>
            </w:tcBorders>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备注</w:t>
            </w:r>
          </w:p>
        </w:tc>
      </w:tr>
      <w:tr>
        <w:tblPrEx>
          <w:tblLayout w:type="fixed"/>
          <w:tblCellMar>
            <w:top w:w="0" w:type="dxa"/>
            <w:left w:w="108" w:type="dxa"/>
            <w:bottom w:w="0" w:type="dxa"/>
            <w:right w:w="108" w:type="dxa"/>
          </w:tblCellMar>
        </w:tblPrEx>
        <w:trPr>
          <w:trHeight w:val="960" w:hRule="atLeast"/>
        </w:trPr>
        <w:tc>
          <w:tcPr>
            <w:tcW w:w="735" w:type="dxa"/>
            <w:tcBorders>
              <w:top w:val="nil"/>
              <w:left w:val="single" w:color="000000" w:sz="8" w:space="0"/>
              <w:bottom w:val="nil"/>
              <w:right w:val="single" w:color="000000" w:sz="8" w:space="0"/>
            </w:tcBorders>
            <w:vAlign w:val="center"/>
          </w:tcPr>
          <w:p>
            <w:pPr>
              <w:widowControl/>
              <w:jc w:val="center"/>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1</w:t>
            </w:r>
          </w:p>
        </w:tc>
        <w:tc>
          <w:tcPr>
            <w:tcW w:w="2150" w:type="dxa"/>
            <w:tcBorders>
              <w:top w:val="nil"/>
              <w:left w:val="nil"/>
              <w:bottom w:val="nil"/>
              <w:right w:val="single" w:color="000000" w:sz="8" w:space="0"/>
            </w:tcBorders>
            <w:vAlign w:val="center"/>
          </w:tcPr>
          <w:p>
            <w:pPr>
              <w:widowControl/>
              <w:textAlignment w:val="center"/>
              <w:rPr>
                <w:rFonts w:ascii="仿宋" w:hAnsi="仿宋" w:eastAsia="仿宋" w:cs="仿宋"/>
                <w:b/>
                <w:bCs/>
                <w:color w:val="000000"/>
                <w:sz w:val="28"/>
                <w:szCs w:val="28"/>
              </w:rPr>
            </w:pPr>
          </w:p>
        </w:tc>
        <w:tc>
          <w:tcPr>
            <w:tcW w:w="1210" w:type="dxa"/>
            <w:tcBorders>
              <w:top w:val="nil"/>
              <w:left w:val="nil"/>
              <w:bottom w:val="nil"/>
              <w:right w:val="single" w:color="000000" w:sz="8" w:space="0"/>
            </w:tcBorders>
            <w:vAlign w:val="center"/>
          </w:tcPr>
          <w:p>
            <w:pPr>
              <w:widowControl/>
              <w:jc w:val="center"/>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台</w:t>
            </w:r>
          </w:p>
        </w:tc>
        <w:tc>
          <w:tcPr>
            <w:tcW w:w="750" w:type="dxa"/>
            <w:tcBorders>
              <w:top w:val="nil"/>
              <w:left w:val="nil"/>
              <w:bottom w:val="nil"/>
              <w:right w:val="single" w:color="000000" w:sz="8" w:space="0"/>
            </w:tcBorders>
            <w:vAlign w:val="center"/>
          </w:tcPr>
          <w:p>
            <w:pPr>
              <w:widowControl/>
              <w:jc w:val="center"/>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1</w:t>
            </w:r>
          </w:p>
        </w:tc>
        <w:tc>
          <w:tcPr>
            <w:tcW w:w="1980" w:type="dxa"/>
            <w:tcBorders>
              <w:top w:val="nil"/>
              <w:left w:val="nil"/>
              <w:bottom w:val="nil"/>
              <w:right w:val="single" w:color="000000" w:sz="8" w:space="0"/>
            </w:tcBorders>
            <w:vAlign w:val="center"/>
          </w:tcPr>
          <w:p>
            <w:pPr>
              <w:widowControl/>
              <w:jc w:val="center"/>
              <w:textAlignment w:val="center"/>
              <w:rPr>
                <w:rFonts w:ascii="仿宋" w:hAnsi="仿宋" w:eastAsia="仿宋" w:cs="仿宋"/>
                <w:color w:val="000000"/>
                <w:sz w:val="28"/>
                <w:szCs w:val="28"/>
              </w:rPr>
            </w:pPr>
          </w:p>
        </w:tc>
        <w:tc>
          <w:tcPr>
            <w:tcW w:w="1635" w:type="dxa"/>
            <w:tcBorders>
              <w:top w:val="nil"/>
              <w:left w:val="nil"/>
              <w:bottom w:val="nil"/>
              <w:right w:val="single" w:color="000000" w:sz="8" w:space="0"/>
            </w:tcBorders>
            <w:vAlign w:val="center"/>
          </w:tcPr>
          <w:p>
            <w:pPr>
              <w:widowControl/>
              <w:jc w:val="center"/>
              <w:textAlignment w:val="center"/>
              <w:rPr>
                <w:rFonts w:ascii="仿宋" w:hAnsi="仿宋" w:eastAsia="仿宋" w:cs="仿宋"/>
                <w:color w:val="000000"/>
                <w:sz w:val="28"/>
                <w:szCs w:val="28"/>
              </w:rPr>
            </w:pPr>
          </w:p>
        </w:tc>
        <w:tc>
          <w:tcPr>
            <w:tcW w:w="1251" w:type="dxa"/>
            <w:tcBorders>
              <w:top w:val="nil"/>
              <w:left w:val="nil"/>
              <w:bottom w:val="nil"/>
              <w:right w:val="single" w:color="000000" w:sz="8" w:space="0"/>
            </w:tcBorders>
            <w:noWrap/>
            <w:vAlign w:val="center"/>
          </w:tcPr>
          <w:p>
            <w:pPr>
              <w:rPr>
                <w:rFonts w:ascii="宋体" w:hAnsi="宋体" w:cs="宋体"/>
                <w:color w:val="000000"/>
                <w:sz w:val="22"/>
                <w:szCs w:val="22"/>
              </w:rPr>
            </w:pPr>
          </w:p>
        </w:tc>
      </w:tr>
      <w:tr>
        <w:tblPrEx>
          <w:tblLayout w:type="fixed"/>
          <w:tblCellMar>
            <w:top w:w="0" w:type="dxa"/>
            <w:left w:w="108" w:type="dxa"/>
            <w:bottom w:w="0" w:type="dxa"/>
            <w:right w:w="108" w:type="dxa"/>
          </w:tblCellMar>
        </w:tblPrEx>
        <w:trPr>
          <w:trHeight w:val="721" w:hRule="atLeast"/>
        </w:trPr>
        <w:tc>
          <w:tcPr>
            <w:tcW w:w="9711" w:type="dxa"/>
            <w:gridSpan w:val="7"/>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合计人民币（大写）：xxx（￥:xxx元）</w:t>
            </w:r>
          </w:p>
        </w:tc>
      </w:tr>
      <w:tr>
        <w:tblPrEx>
          <w:tblLayout w:type="fixed"/>
          <w:tblCellMar>
            <w:top w:w="0" w:type="dxa"/>
            <w:left w:w="108" w:type="dxa"/>
            <w:bottom w:w="0" w:type="dxa"/>
            <w:right w:w="108" w:type="dxa"/>
          </w:tblCellMar>
        </w:tblPrEx>
        <w:trPr>
          <w:trHeight w:val="480" w:hRule="atLeast"/>
        </w:trPr>
        <w:tc>
          <w:tcPr>
            <w:tcW w:w="9711" w:type="dxa"/>
            <w:gridSpan w:val="7"/>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含xx%增值税、运费、安装调试费</w:t>
            </w:r>
          </w:p>
        </w:tc>
      </w:tr>
    </w:tbl>
    <w:p>
      <w:pPr>
        <w:pStyle w:val="7"/>
        <w:ind w:left="210" w:leftChars="100" w:firstLine="0" w:firstLineChars="0"/>
      </w:pP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二、交货地点、时间、方式</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1.交货地点：XX省XX市XX路XX号；</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2.交货时间：合同生效后，XX日之前货到甲方指定地点；</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3.运输方式、运输责任及运输费用负担：乙方负责到甲方工厂的包装、装卸货、运输及保险费用。</w:t>
      </w:r>
    </w:p>
    <w:p>
      <w:pPr>
        <w:adjustRightInd w:val="0"/>
        <w:snapToGrid w:val="0"/>
        <w:spacing w:line="360" w:lineRule="auto"/>
        <w:ind w:firstLine="562" w:firstLineChars="200"/>
      </w:pPr>
      <w:r>
        <w:rPr>
          <w:rFonts w:hint="eastAsia" w:ascii="仿宋" w:hAnsi="仿宋" w:eastAsia="仿宋" w:cs="仿宋"/>
          <w:b/>
          <w:bCs/>
          <w:sz w:val="28"/>
          <w:szCs w:val="28"/>
        </w:rPr>
        <w:t>三、付款方式</w:t>
      </w: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sz w:val="28"/>
          <w:szCs w:val="28"/>
        </w:rPr>
        <w:t>1.预付款：</w:t>
      </w:r>
      <w:r>
        <w:rPr>
          <w:rFonts w:hint="eastAsia" w:ascii="仿宋" w:hAnsi="仿宋" w:eastAsia="仿宋" w:cs="仿宋"/>
          <w:spacing w:val="-3"/>
          <w:sz w:val="28"/>
          <w:szCs w:val="28"/>
          <w:lang w:val="en-GB"/>
        </w:rPr>
        <w:t>签订合同，</w:t>
      </w:r>
      <w:r>
        <w:rPr>
          <w:rFonts w:hint="eastAsia" w:ascii="仿宋" w:hAnsi="仿宋" w:eastAsia="仿宋" w:cs="仿宋"/>
          <w:spacing w:val="-3"/>
          <w:sz w:val="28"/>
          <w:szCs w:val="28"/>
        </w:rPr>
        <w:t>甲方以银行承兑（6个月）支付乙方</w:t>
      </w:r>
      <w:r>
        <w:rPr>
          <w:rFonts w:hint="eastAsia" w:ascii="仿宋" w:hAnsi="仿宋" w:eastAsia="仿宋" w:cs="仿宋"/>
          <w:spacing w:val="-3"/>
          <w:sz w:val="28"/>
          <w:szCs w:val="28"/>
          <w:lang w:val="en-GB"/>
        </w:rPr>
        <w:t>合同总价</w:t>
      </w:r>
      <w:r>
        <w:rPr>
          <w:rFonts w:hint="eastAsia" w:ascii="仿宋" w:hAnsi="仿宋" w:eastAsia="仿宋" w:cs="仿宋"/>
          <w:spacing w:val="-3"/>
          <w:sz w:val="28"/>
          <w:szCs w:val="28"/>
        </w:rPr>
        <w:t>XX</w:t>
      </w:r>
      <w:r>
        <w:rPr>
          <w:rFonts w:hint="eastAsia" w:ascii="仿宋" w:hAnsi="仿宋" w:eastAsia="仿宋" w:cs="仿宋"/>
          <w:spacing w:val="-3"/>
          <w:sz w:val="28"/>
          <w:szCs w:val="28"/>
          <w:lang w:val="en-GB"/>
        </w:rPr>
        <w:t xml:space="preserve"> % 做为预付款，即</w:t>
      </w:r>
      <w:r>
        <w:rPr>
          <w:rFonts w:hint="eastAsia" w:ascii="仿宋" w:hAnsi="仿宋" w:eastAsia="仿宋" w:cs="仿宋"/>
          <w:sz w:val="28"/>
          <w:szCs w:val="28"/>
        </w:rPr>
        <w:t>RMB XX元</w:t>
      </w:r>
      <w:r>
        <w:rPr>
          <w:rFonts w:hint="eastAsia" w:ascii="仿宋" w:hAnsi="仿宋" w:eastAsia="仿宋" w:cs="仿宋"/>
          <w:spacing w:val="-3"/>
          <w:sz w:val="28"/>
          <w:szCs w:val="28"/>
          <w:lang w:val="en-GB"/>
        </w:rPr>
        <w:t>，（大写）：</w:t>
      </w:r>
      <w:r>
        <w:rPr>
          <w:rFonts w:hint="eastAsia" w:ascii="仿宋" w:hAnsi="仿宋" w:eastAsia="仿宋" w:cs="仿宋"/>
          <w:sz w:val="28"/>
          <w:szCs w:val="28"/>
        </w:rPr>
        <w:t>人民币XX 万元</w:t>
      </w:r>
      <w:r>
        <w:rPr>
          <w:rFonts w:hint="eastAsia" w:ascii="仿宋" w:hAnsi="仿宋" w:eastAsia="仿宋" w:cs="仿宋"/>
          <w:spacing w:val="-3"/>
          <w:sz w:val="28"/>
          <w:szCs w:val="28"/>
          <w:lang w:val="en-GB"/>
        </w:rPr>
        <w:t>整），</w:t>
      </w:r>
      <w:r>
        <w:rPr>
          <w:rFonts w:hint="eastAsia" w:ascii="仿宋" w:hAnsi="仿宋" w:eastAsia="仿宋" w:cs="仿宋"/>
          <w:spacing w:val="-3"/>
          <w:sz w:val="28"/>
          <w:szCs w:val="28"/>
        </w:rPr>
        <w:t>乙方10个日历日内开具等额的增值税发票交付甲方；</w:t>
      </w:r>
    </w:p>
    <w:p>
      <w:pPr>
        <w:adjustRightInd w:val="0"/>
        <w:snapToGrid w:val="0"/>
        <w:spacing w:line="360" w:lineRule="auto"/>
        <w:ind w:firstLine="562" w:firstLineChars="200"/>
        <w:rPr>
          <w:rFonts w:ascii="仿宋" w:hAnsi="仿宋" w:eastAsia="仿宋" w:cs="仿宋"/>
          <w:spacing w:val="-3"/>
          <w:sz w:val="28"/>
          <w:szCs w:val="28"/>
          <w:lang w:val="en-GB"/>
        </w:rPr>
      </w:pPr>
      <w:r>
        <w:rPr>
          <w:rFonts w:hint="eastAsia" w:ascii="仿宋" w:hAnsi="仿宋" w:eastAsia="仿宋" w:cs="仿宋"/>
          <w:b/>
          <w:sz w:val="28"/>
          <w:szCs w:val="28"/>
        </w:rPr>
        <w:t>2.发货款：</w:t>
      </w:r>
      <w:r>
        <w:rPr>
          <w:rFonts w:hint="eastAsia" w:ascii="仿宋" w:hAnsi="仿宋" w:eastAsia="仿宋" w:cs="仿宋"/>
          <w:spacing w:val="-3"/>
          <w:sz w:val="28"/>
          <w:szCs w:val="28"/>
          <w:lang w:val="en-GB"/>
        </w:rPr>
        <w:t>设备</w:t>
      </w:r>
      <w:r>
        <w:rPr>
          <w:rFonts w:hint="eastAsia" w:ascii="仿宋" w:hAnsi="仿宋" w:eastAsia="仿宋" w:cs="仿宋"/>
          <w:spacing w:val="-3"/>
          <w:sz w:val="28"/>
          <w:szCs w:val="28"/>
        </w:rPr>
        <w:t>制作完成后，乙方提前10个日历日通知甲方，甲方</w:t>
      </w:r>
      <w:r>
        <w:rPr>
          <w:rFonts w:hint="eastAsia" w:ascii="仿宋" w:hAnsi="仿宋" w:eastAsia="仿宋" w:cs="仿宋"/>
          <w:spacing w:val="-3"/>
          <w:sz w:val="28"/>
          <w:szCs w:val="28"/>
          <w:lang w:val="en-GB"/>
        </w:rPr>
        <w:t>收到乙方开具的等额增值税专用发票后</w:t>
      </w:r>
      <w:r>
        <w:rPr>
          <w:rFonts w:hint="eastAsia" w:ascii="仿宋" w:hAnsi="仿宋" w:eastAsia="仿宋" w:cs="仿宋"/>
          <w:spacing w:val="-3"/>
          <w:sz w:val="28"/>
          <w:szCs w:val="28"/>
        </w:rPr>
        <w:t>10个</w:t>
      </w:r>
      <w:r>
        <w:rPr>
          <w:rFonts w:hint="eastAsia" w:ascii="仿宋" w:hAnsi="仿宋" w:eastAsia="仿宋" w:cs="仿宋"/>
          <w:sz w:val="28"/>
          <w:szCs w:val="28"/>
        </w:rPr>
        <w:t>日历日</w:t>
      </w:r>
      <w:r>
        <w:rPr>
          <w:rFonts w:hint="eastAsia" w:ascii="仿宋" w:hAnsi="仿宋" w:eastAsia="仿宋" w:cs="仿宋"/>
          <w:spacing w:val="-3"/>
          <w:sz w:val="28"/>
          <w:szCs w:val="28"/>
        </w:rPr>
        <w:t>内以银行承兑（6个月）支付乙方</w:t>
      </w:r>
      <w:r>
        <w:rPr>
          <w:rFonts w:hint="eastAsia" w:ascii="仿宋" w:hAnsi="仿宋" w:eastAsia="仿宋" w:cs="仿宋"/>
          <w:spacing w:val="-3"/>
          <w:sz w:val="28"/>
          <w:szCs w:val="28"/>
          <w:lang w:val="en-GB"/>
        </w:rPr>
        <w:t>合同总价</w:t>
      </w:r>
      <w:r>
        <w:rPr>
          <w:rFonts w:hint="eastAsia" w:ascii="仿宋" w:hAnsi="仿宋" w:eastAsia="仿宋" w:cs="仿宋"/>
          <w:spacing w:val="-3"/>
          <w:sz w:val="28"/>
          <w:szCs w:val="28"/>
        </w:rPr>
        <w:t>XX</w:t>
      </w:r>
      <w:r>
        <w:rPr>
          <w:rFonts w:hint="eastAsia" w:ascii="仿宋" w:hAnsi="仿宋" w:eastAsia="仿宋" w:cs="仿宋"/>
          <w:spacing w:val="-3"/>
          <w:sz w:val="28"/>
          <w:szCs w:val="28"/>
          <w:lang w:val="en-GB"/>
        </w:rPr>
        <w:t xml:space="preserve"> % 的款项，即</w:t>
      </w:r>
      <w:r>
        <w:rPr>
          <w:rFonts w:hint="eastAsia" w:ascii="仿宋" w:hAnsi="仿宋" w:eastAsia="仿宋" w:cs="仿宋"/>
          <w:sz w:val="28"/>
          <w:szCs w:val="28"/>
        </w:rPr>
        <w:t>RMB XX 元</w:t>
      </w:r>
      <w:r>
        <w:rPr>
          <w:rFonts w:hint="eastAsia" w:ascii="仿宋" w:hAnsi="仿宋" w:eastAsia="仿宋" w:cs="仿宋"/>
          <w:spacing w:val="-3"/>
          <w:sz w:val="28"/>
          <w:szCs w:val="28"/>
          <w:lang w:val="en-GB"/>
        </w:rPr>
        <w:t>，（大写）：</w:t>
      </w:r>
      <w:r>
        <w:rPr>
          <w:rFonts w:hint="eastAsia" w:ascii="仿宋" w:hAnsi="仿宋" w:eastAsia="仿宋" w:cs="仿宋"/>
          <w:sz w:val="28"/>
          <w:szCs w:val="28"/>
        </w:rPr>
        <w:t>人民币XX万</w:t>
      </w:r>
      <w:r>
        <w:rPr>
          <w:rFonts w:hint="eastAsia" w:ascii="仿宋" w:hAnsi="仿宋" w:eastAsia="仿宋" w:cs="仿宋"/>
          <w:spacing w:val="-3"/>
          <w:sz w:val="28"/>
          <w:szCs w:val="28"/>
          <w:lang w:val="en-GB"/>
        </w:rPr>
        <w:t>元整）；</w:t>
      </w:r>
    </w:p>
    <w:p>
      <w:pPr>
        <w:adjustRightInd w:val="0"/>
        <w:snapToGrid w:val="0"/>
        <w:spacing w:line="360" w:lineRule="auto"/>
        <w:ind w:firstLine="562" w:firstLineChars="200"/>
        <w:rPr>
          <w:rFonts w:ascii="仿宋" w:hAnsi="仿宋" w:eastAsia="仿宋" w:cs="仿宋"/>
          <w:spacing w:val="-3"/>
          <w:sz w:val="28"/>
          <w:szCs w:val="28"/>
          <w:lang w:val="en-GB"/>
        </w:rPr>
      </w:pPr>
      <w:r>
        <w:rPr>
          <w:rFonts w:hint="eastAsia" w:ascii="仿宋" w:hAnsi="仿宋" w:eastAsia="仿宋" w:cs="仿宋"/>
          <w:b/>
          <w:sz w:val="28"/>
          <w:szCs w:val="28"/>
        </w:rPr>
        <w:t>3.验收款：</w:t>
      </w:r>
      <w:r>
        <w:rPr>
          <w:rFonts w:hint="eastAsia" w:ascii="仿宋" w:hAnsi="仿宋" w:eastAsia="仿宋" w:cs="仿宋"/>
          <w:spacing w:val="-3"/>
          <w:sz w:val="28"/>
          <w:szCs w:val="28"/>
          <w:lang w:val="en-GB"/>
        </w:rPr>
        <w:t>设备</w:t>
      </w:r>
      <w:r>
        <w:rPr>
          <w:rFonts w:hint="eastAsia" w:ascii="仿宋" w:hAnsi="仿宋" w:eastAsia="仿宋" w:cs="仿宋"/>
          <w:spacing w:val="-3"/>
          <w:sz w:val="28"/>
          <w:szCs w:val="28"/>
        </w:rPr>
        <w:t>安装调试完成，收到乙方开具的剩余全额增值税专用发票后，甲方10个</w:t>
      </w:r>
      <w:r>
        <w:rPr>
          <w:rFonts w:hint="eastAsia" w:ascii="仿宋" w:hAnsi="仿宋" w:eastAsia="仿宋" w:cs="仿宋"/>
          <w:sz w:val="28"/>
          <w:szCs w:val="28"/>
        </w:rPr>
        <w:t>日历日</w:t>
      </w:r>
      <w:r>
        <w:rPr>
          <w:rFonts w:hint="eastAsia" w:ascii="仿宋" w:hAnsi="仿宋" w:eastAsia="仿宋" w:cs="仿宋"/>
          <w:spacing w:val="-3"/>
          <w:sz w:val="28"/>
          <w:szCs w:val="28"/>
        </w:rPr>
        <w:t>内以银行承兑（6个月）支付乙方</w:t>
      </w:r>
      <w:r>
        <w:rPr>
          <w:rFonts w:hint="eastAsia" w:ascii="仿宋" w:hAnsi="仿宋" w:eastAsia="仿宋" w:cs="仿宋"/>
          <w:spacing w:val="-3"/>
          <w:sz w:val="28"/>
          <w:szCs w:val="28"/>
          <w:lang w:val="en-GB"/>
        </w:rPr>
        <w:t>合同总价</w:t>
      </w:r>
      <w:r>
        <w:rPr>
          <w:rFonts w:hint="eastAsia" w:ascii="仿宋" w:hAnsi="仿宋" w:eastAsia="仿宋" w:cs="仿宋"/>
          <w:spacing w:val="-3"/>
          <w:sz w:val="28"/>
          <w:szCs w:val="28"/>
        </w:rPr>
        <w:t>XX</w:t>
      </w:r>
      <w:r>
        <w:rPr>
          <w:rFonts w:hint="eastAsia" w:ascii="仿宋" w:hAnsi="仿宋" w:eastAsia="仿宋" w:cs="仿宋"/>
          <w:spacing w:val="-3"/>
          <w:sz w:val="28"/>
          <w:szCs w:val="28"/>
          <w:lang w:val="en-GB"/>
        </w:rPr>
        <w:t>% 的款项，即</w:t>
      </w:r>
      <w:r>
        <w:rPr>
          <w:rFonts w:hint="eastAsia" w:ascii="仿宋" w:hAnsi="仿宋" w:eastAsia="仿宋" w:cs="仿宋"/>
          <w:sz w:val="28"/>
          <w:szCs w:val="28"/>
        </w:rPr>
        <w:t>RMB XX元</w:t>
      </w:r>
      <w:r>
        <w:rPr>
          <w:rFonts w:hint="eastAsia" w:ascii="仿宋" w:hAnsi="仿宋" w:eastAsia="仿宋" w:cs="仿宋"/>
          <w:spacing w:val="-3"/>
          <w:sz w:val="28"/>
          <w:szCs w:val="28"/>
          <w:lang w:val="en-GB"/>
        </w:rPr>
        <w:t>，（大写）：</w:t>
      </w:r>
      <w:r>
        <w:rPr>
          <w:rFonts w:hint="eastAsia" w:ascii="仿宋" w:hAnsi="仿宋" w:eastAsia="仿宋" w:cs="仿宋"/>
          <w:sz w:val="28"/>
          <w:szCs w:val="28"/>
        </w:rPr>
        <w:t>人民币XX万</w:t>
      </w:r>
      <w:r>
        <w:rPr>
          <w:rFonts w:hint="eastAsia" w:ascii="仿宋" w:hAnsi="仿宋" w:eastAsia="仿宋" w:cs="仿宋"/>
          <w:spacing w:val="-3"/>
          <w:sz w:val="28"/>
          <w:szCs w:val="28"/>
          <w:lang w:val="en-GB"/>
        </w:rPr>
        <w:t>元整）；</w:t>
      </w:r>
    </w:p>
    <w:p>
      <w:pPr>
        <w:adjustRightInd w:val="0"/>
        <w:snapToGrid w:val="0"/>
        <w:spacing w:line="360" w:lineRule="auto"/>
        <w:ind w:firstLine="562" w:firstLineChars="200"/>
        <w:rPr>
          <w:rFonts w:ascii="仿宋" w:hAnsi="仿宋" w:eastAsia="仿宋" w:cs="仿宋"/>
          <w:spacing w:val="-3"/>
          <w:sz w:val="28"/>
          <w:szCs w:val="28"/>
          <w:lang w:val="en-GB"/>
        </w:rPr>
      </w:pPr>
      <w:r>
        <w:rPr>
          <w:rFonts w:hint="eastAsia" w:ascii="仿宋" w:hAnsi="仿宋" w:eastAsia="仿宋" w:cs="仿宋"/>
          <w:b/>
          <w:sz w:val="28"/>
          <w:szCs w:val="28"/>
        </w:rPr>
        <w:t>4.保固款：</w:t>
      </w:r>
      <w:r>
        <w:rPr>
          <w:rFonts w:hint="eastAsia" w:ascii="仿宋" w:hAnsi="仿宋" w:eastAsia="仿宋" w:cs="仿宋"/>
          <w:sz w:val="28"/>
          <w:szCs w:val="28"/>
        </w:rPr>
        <w:t>质保期期满后，双方确认无任何纠纷 15日历日内，</w:t>
      </w:r>
      <w:r>
        <w:rPr>
          <w:rFonts w:hint="eastAsia" w:ascii="仿宋" w:hAnsi="仿宋" w:eastAsia="仿宋" w:cs="仿宋"/>
          <w:spacing w:val="-3"/>
          <w:sz w:val="28"/>
          <w:szCs w:val="28"/>
        </w:rPr>
        <w:t>甲方支付乙方</w:t>
      </w:r>
      <w:r>
        <w:rPr>
          <w:rFonts w:hint="eastAsia" w:ascii="仿宋" w:hAnsi="仿宋" w:eastAsia="仿宋" w:cs="仿宋"/>
          <w:sz w:val="28"/>
          <w:szCs w:val="28"/>
        </w:rPr>
        <w:t>合同总价的XX %的款项</w:t>
      </w:r>
      <w:r>
        <w:rPr>
          <w:rFonts w:hint="eastAsia" w:ascii="仿宋" w:hAnsi="仿宋" w:eastAsia="仿宋" w:cs="仿宋"/>
          <w:spacing w:val="-3"/>
          <w:sz w:val="28"/>
          <w:szCs w:val="28"/>
          <w:lang w:val="en-GB"/>
        </w:rPr>
        <w:t>，即</w:t>
      </w:r>
      <w:r>
        <w:rPr>
          <w:rFonts w:hint="eastAsia" w:ascii="仿宋" w:hAnsi="仿宋" w:eastAsia="仿宋" w:cs="仿宋"/>
          <w:sz w:val="28"/>
          <w:szCs w:val="28"/>
        </w:rPr>
        <w:t>RMBXX元</w:t>
      </w:r>
      <w:r>
        <w:rPr>
          <w:rFonts w:hint="eastAsia" w:ascii="仿宋" w:hAnsi="仿宋" w:eastAsia="仿宋" w:cs="仿宋"/>
          <w:spacing w:val="-3"/>
          <w:sz w:val="28"/>
          <w:szCs w:val="28"/>
          <w:lang w:val="en-GB"/>
        </w:rPr>
        <w:t>，（大写）：</w:t>
      </w:r>
      <w:r>
        <w:rPr>
          <w:rFonts w:hint="eastAsia" w:ascii="仿宋" w:hAnsi="仿宋" w:eastAsia="仿宋" w:cs="仿宋"/>
          <w:sz w:val="28"/>
          <w:szCs w:val="28"/>
        </w:rPr>
        <w:t>人民币XX万元</w:t>
      </w:r>
      <w:r>
        <w:rPr>
          <w:rFonts w:hint="eastAsia" w:ascii="仿宋" w:hAnsi="仿宋" w:eastAsia="仿宋" w:cs="仿宋"/>
          <w:spacing w:val="-3"/>
          <w:sz w:val="28"/>
          <w:szCs w:val="28"/>
          <w:lang w:val="en-GB"/>
        </w:rPr>
        <w:t>整）。</w:t>
      </w:r>
    </w:p>
    <w:p>
      <w:pPr>
        <w:pStyle w:val="7"/>
        <w:ind w:firstLine="550" w:firstLineChars="200"/>
        <w:rPr>
          <w:b/>
          <w:bCs/>
          <w:u w:val="single"/>
        </w:rPr>
      </w:pPr>
      <w:r>
        <w:rPr>
          <w:rFonts w:hint="eastAsia" w:ascii="仿宋" w:hAnsi="仿宋" w:eastAsia="仿宋" w:cs="仿宋"/>
          <w:b/>
          <w:bCs/>
          <w:spacing w:val="-3"/>
          <w:sz w:val="28"/>
          <w:szCs w:val="28"/>
          <w:u w:val="single"/>
        </w:rPr>
        <w:t>（以上付款方式根据中标通知书）</w:t>
      </w:r>
    </w:p>
    <w:p>
      <w:pPr>
        <w:adjustRightInd w:val="0"/>
        <w:snapToGrid w:val="0"/>
        <w:spacing w:line="360" w:lineRule="auto"/>
        <w:ind w:firstLine="562" w:firstLineChars="200"/>
        <w:rPr>
          <w:rFonts w:ascii="仿宋" w:hAnsi="仿宋" w:eastAsia="仿宋" w:cs="仿宋"/>
          <w:sz w:val="28"/>
          <w:szCs w:val="28"/>
        </w:rPr>
      </w:pPr>
      <w:r>
        <w:rPr>
          <w:rFonts w:hint="eastAsia" w:ascii="仿宋" w:hAnsi="仿宋" w:eastAsia="仿宋" w:cs="仿宋"/>
          <w:b/>
          <w:bCs/>
          <w:sz w:val="28"/>
          <w:szCs w:val="28"/>
        </w:rPr>
        <w:t>四、安装、调试和验收</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1.乙方负责设备安装及调试，负责卸车、吊装、搬运、报检及产生的费用；甲方负责水、电供应及产生的费用（</w:t>
      </w:r>
      <w:r>
        <w:rPr>
          <w:rFonts w:hint="eastAsia" w:ascii="仿宋" w:hAnsi="仿宋" w:eastAsia="仿宋" w:cs="仿宋"/>
          <w:b/>
          <w:bCs/>
          <w:sz w:val="28"/>
          <w:szCs w:val="28"/>
          <w:u w:val="single"/>
        </w:rPr>
        <w:t>或根据洽谈</w:t>
      </w:r>
      <w:r>
        <w:rPr>
          <w:rFonts w:hint="eastAsia" w:ascii="仿宋" w:hAnsi="仿宋" w:eastAsia="仿宋" w:cs="仿宋"/>
          <w:sz w:val="28"/>
          <w:szCs w:val="28"/>
        </w:rPr>
        <w:t>），且指定接口位置；</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2.安装调试时间：至XX年XX月XX日前安装及调试完成，甲方配合乙方调试；</w:t>
      </w:r>
    </w:p>
    <w:p>
      <w:pPr>
        <w:adjustRightInd w:val="0"/>
        <w:snapToGrid w:val="0"/>
        <w:spacing w:line="360" w:lineRule="auto"/>
        <w:ind w:firstLine="560" w:firstLineChars="200"/>
        <w:rPr>
          <w:rFonts w:ascii="仿宋" w:hAnsi="仿宋" w:eastAsia="仿宋" w:cs="仿宋"/>
        </w:rPr>
      </w:pPr>
      <w:r>
        <w:rPr>
          <w:rFonts w:hint="eastAsia" w:ascii="仿宋" w:hAnsi="仿宋" w:eastAsia="仿宋" w:cs="仿宋"/>
          <w:sz w:val="28"/>
          <w:szCs w:val="28"/>
        </w:rPr>
        <w:t>3.验收标准：双方共同依据设备技术标准进行设备的验收；</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4.乙方可将剩余材料、自带用于调试的工具带出厂区；</w:t>
      </w:r>
    </w:p>
    <w:p>
      <w:pPr>
        <w:pStyle w:val="7"/>
        <w:ind w:firstLine="0" w:firstLineChars="0"/>
      </w:pPr>
      <w:r>
        <w:rPr>
          <w:rFonts w:hint="eastAsia" w:ascii="仿宋" w:hAnsi="仿宋" w:eastAsia="仿宋" w:cs="仿宋"/>
          <w:sz w:val="28"/>
          <w:szCs w:val="28"/>
        </w:rPr>
        <w:t xml:space="preserve">    5.乙方指定xxx为安装现场安全管理负责人，电话：xxx，身份证号码：xxx，安全管理资格证书：xxx。相关人员应持有相应的作业证书。</w:t>
      </w:r>
    </w:p>
    <w:p>
      <w:pPr>
        <w:adjustRightInd w:val="0"/>
        <w:snapToGrid w:val="0"/>
        <w:spacing w:line="360" w:lineRule="auto"/>
        <w:ind w:firstLine="562" w:firstLineChars="200"/>
        <w:rPr>
          <w:rFonts w:ascii="仿宋" w:hAnsi="仿宋" w:eastAsia="仿宋" w:cs="仿宋"/>
        </w:rPr>
      </w:pPr>
      <w:r>
        <w:rPr>
          <w:rFonts w:hint="eastAsia" w:ascii="仿宋" w:hAnsi="仿宋" w:eastAsia="仿宋" w:cs="仿宋"/>
          <w:b/>
          <w:bCs/>
          <w:sz w:val="28"/>
          <w:szCs w:val="28"/>
        </w:rPr>
        <w:t>五、设备技术标准</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1.以《技术附件》文件为准（</w:t>
      </w:r>
      <w:r>
        <w:rPr>
          <w:rFonts w:hint="eastAsia" w:ascii="仿宋" w:hAnsi="仿宋" w:eastAsia="仿宋" w:cs="仿宋"/>
          <w:b/>
          <w:bCs/>
          <w:sz w:val="28"/>
          <w:szCs w:val="28"/>
          <w:u w:val="single"/>
        </w:rPr>
        <w:t>若无技术附件，此项可列入技术要求</w:t>
      </w:r>
      <w:r>
        <w:rPr>
          <w:rFonts w:hint="eastAsia" w:ascii="仿宋" w:hAnsi="仿宋" w:eastAsia="仿宋" w:cs="仿宋"/>
          <w:sz w:val="28"/>
          <w:szCs w:val="28"/>
        </w:rPr>
        <w:t>），乙方必须保证合同标的产品的质量符合相关参数的要求，标的产品所使用的零配件需与规定的一致，否则按违约处理；</w:t>
      </w:r>
    </w:p>
    <w:p>
      <w:pPr>
        <w:spacing w:line="360" w:lineRule="auto"/>
        <w:ind w:firstLine="560" w:firstLineChars="200"/>
        <w:rPr>
          <w:rFonts w:ascii="仿宋" w:hAnsi="仿宋" w:eastAsia="仿宋" w:cs="仿宋"/>
        </w:rPr>
      </w:pPr>
      <w:r>
        <w:rPr>
          <w:rFonts w:hint="eastAsia" w:ascii="仿宋" w:hAnsi="仿宋" w:eastAsia="仿宋" w:cs="仿宋"/>
          <w:sz w:val="28"/>
          <w:szCs w:val="28"/>
        </w:rPr>
        <w:t>2.乙方保证所交付的设备排放标准满足国家及甲方所在地的最新环保标准，否则按违约处理。</w:t>
      </w: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六、培训与售后服务</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1.乙方负责免费对甲方技师的技术培训，并能使甲方技师达到独立操作及维护保养能力的水平，甲方指定机械、电气技师的具体人员，参与设备安装、调试的过程；</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2.保固期为设备验收合格后的12个月（以甲方出具的验收单为准）；</w:t>
      </w:r>
    </w:p>
    <w:p>
      <w:pPr>
        <w:adjustRightInd w:val="0"/>
        <w:snapToGrid w:val="0"/>
        <w:spacing w:line="360" w:lineRule="auto"/>
        <w:ind w:firstLine="560" w:firstLineChars="200"/>
        <w:rPr>
          <w:rFonts w:ascii="仿宋" w:hAnsi="仿宋" w:eastAsia="仿宋" w:cs="仿宋"/>
          <w:b/>
          <w:bCs/>
          <w:sz w:val="28"/>
          <w:szCs w:val="28"/>
        </w:rPr>
      </w:pPr>
      <w:r>
        <w:rPr>
          <w:rFonts w:hint="eastAsia" w:ascii="仿宋" w:hAnsi="仿宋" w:eastAsia="仿宋" w:cs="仿宋"/>
          <w:sz w:val="28"/>
          <w:szCs w:val="28"/>
        </w:rPr>
        <w:t>3.在保固期内，如设备出现质量问题，乙方接到甲方通知后2小时之内响应，24小时之内到甲方工厂免费修理或替换该缺陷部品或设备（易损件和因甲方原因造成的损坏除外）。若乙方不能于24小时之内进行修理或替换，则甲方自行或由第三方排除故障，其费用和责任由乙方负责。因质量问题造成甲方的损失由乙方负责，并从质保金中扣抵，不足部分乙方仍需赔偿。</w:t>
      </w: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七、安全事项</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乙方在设备安装调试过程中，应遵循国家有关规定和甲方安全规章制度，服从甲方管理，并签订《安全施工协议》，若由于乙方责任造成人身伤害或财产损失，全部由乙方自行承担，并赔偿由此给甲方造成的全部损失，且甲方有权从货款中直接扣除，不足部分乙方仍需赔偿。</w:t>
      </w: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八、违约责任</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1.非甲方原因，乙方未按约定时间完成设备交付、安装调试，每迟延一天向甲方支付合同总金额千分之五的违约金，甲方有权直接解除合同而无需承担任何责任；</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乙方未按合同约定履行义务或设备未达到合同要求，除其他条款已有约定外，还应按合同总值的20%向甲方支付违约金，乙方需赔偿由此给甲方造成的直接损失，甲方有权自应付款中直接扣除，不足部分乙方仍需赔偿，甲方有权直接解除合同，且无需承担任何责任，乙方须返还甲方前期支付的所有费用。</w:t>
      </w: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九、不可抗力</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任何一方由于不可抗力不能全部或部分履行本合同义务时，应及时采取合理措施避免损失的进一步扩大并以传真、电话等最快方式通知另一方，经合同另一方认可后，发生不可抗力的一方可全部或部分免除因该不可抗力导致的合同迟延或不能全部或部分履行的责任。双方在不可抗力事故停止后或影响消除后立即继续履行合同义务，合同条件相应延伸，如果不可抗力事故持续九十天以上时，任何一方有权书面通知对方终止本合同。</w:t>
      </w: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十、知识产权</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1.乙方保证：设备不存在任何知识产权、所有权权利瑕疵，该设备及设备的销售不存在知识产权、所有权侵权行为。</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2.侵权保证：当出现乙方设备及设备销售知识产权侵权情形（包括因甲方使用该设备而构成对他人知识产权侵犯为由被提起诉讼、仲裁或其它赔偿请求时），乙方应承担全部赔偿责任。</w:t>
      </w: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十一、争议解决条款</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本合同履约地：山东省招远市</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履行本合同的过程中如发生争议，双方应通过友好协商解决；协商不成，由合同履约地人民法院裁决。</w:t>
      </w: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十二、 反贿赂</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乙方承诺坚决杜绝向甲方业务人员及亲属赠送财物的贿赂行为，若有此行为，乙方</w:t>
      </w:r>
      <w:r>
        <w:rPr>
          <w:rFonts w:hint="eastAsia" w:ascii="仿宋" w:hAnsi="仿宋" w:eastAsia="仿宋" w:cs="仿宋"/>
          <w:color w:val="000000"/>
          <w:sz w:val="28"/>
          <w:szCs w:val="28"/>
        </w:rPr>
        <w:t>同意按合同总额的50%</w:t>
      </w:r>
      <w:r>
        <w:rPr>
          <w:rFonts w:hint="eastAsia" w:ascii="仿宋" w:hAnsi="仿宋" w:eastAsia="仿宋" w:cs="仿宋"/>
          <w:sz w:val="28"/>
          <w:szCs w:val="28"/>
        </w:rPr>
        <w:t>，向甲方支付违约金并赔偿甲方损失，甲方有权从货款中直接扣除、解除合同并取消供货商资格。</w:t>
      </w:r>
    </w:p>
    <w:p>
      <w:pPr>
        <w:numPr>
          <w:ilvl w:val="0"/>
          <w:numId w:val="4"/>
        </w:num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保密</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任何一方不得向第三方透露因签订本合同获得和知晓的对方的商业秘密。商业秘密包括双方洽谈的情况、签署的任何文件，包括合同、协议等文件中所包含的一切信息、客户名单、采购数据、定价政策、财务资料、进货管道等。</w:t>
      </w:r>
    </w:p>
    <w:p>
      <w:pPr>
        <w:adjustRightInd w:val="0"/>
        <w:snapToGrid w:val="0"/>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十四、其它</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1.本合同一式3份，甲方2份，乙方1份，自双方签字盖章之日起生效；</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2.所有附件均须双方签字盖章，为本合同不可分割的一部分；</w:t>
      </w:r>
    </w:p>
    <w:p>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3.任何对本合同的修改和/或补充，必须以书面形式经双方共同签字盖章后，方具有法律效力。</w:t>
      </w:r>
    </w:p>
    <w:p>
      <w:pPr>
        <w:spacing w:line="360" w:lineRule="auto"/>
        <w:rPr>
          <w:rFonts w:ascii="仿宋" w:hAnsi="仿宋" w:eastAsia="仿宋" w:cs="仿宋"/>
          <w:sz w:val="28"/>
          <w:szCs w:val="28"/>
        </w:rPr>
      </w:pPr>
      <w:r>
        <w:rPr>
          <w:rFonts w:hint="eastAsia" w:ascii="仿宋" w:hAnsi="仿宋" w:eastAsia="仿宋" w:cs="仿宋"/>
          <w:sz w:val="28"/>
          <w:szCs w:val="28"/>
        </w:rPr>
        <w:t>甲方：山东金宝电子有限公司（章） 乙方：XX</w:t>
      </w:r>
      <w:r>
        <w:rPr>
          <w:rFonts w:hint="eastAsia" w:ascii="仿宋" w:hAnsi="仿宋" w:eastAsia="仿宋" w:cs="仿宋"/>
          <w:sz w:val="28"/>
          <w:szCs w:val="28"/>
        </w:rPr>
        <w:br w:type="textWrapping"/>
      </w:r>
      <w:r>
        <w:rPr>
          <w:rFonts w:hint="eastAsia" w:ascii="仿宋" w:hAnsi="仿宋" w:eastAsia="仿宋" w:cs="仿宋"/>
          <w:sz w:val="28"/>
          <w:szCs w:val="28"/>
        </w:rPr>
        <w:t>单位地址：招远市国大路268号      单位地址：XX</w:t>
      </w:r>
      <w:r>
        <w:rPr>
          <w:rFonts w:hint="eastAsia" w:ascii="仿宋" w:hAnsi="仿宋" w:eastAsia="仿宋" w:cs="仿宋"/>
          <w:sz w:val="28"/>
          <w:szCs w:val="28"/>
        </w:rPr>
        <w:br w:type="textWrapping"/>
      </w:r>
      <w:r>
        <w:rPr>
          <w:rFonts w:hint="eastAsia" w:ascii="仿宋" w:hAnsi="仿宋" w:eastAsia="仿宋" w:cs="仿宋"/>
          <w:sz w:val="28"/>
          <w:szCs w:val="28"/>
        </w:rPr>
        <w:t>委托代理人签字：                 委托代理人签字：</w:t>
      </w:r>
    </w:p>
    <w:p>
      <w:pPr>
        <w:spacing w:line="360" w:lineRule="auto"/>
        <w:rPr>
          <w:rFonts w:ascii="仿宋" w:hAnsi="仿宋" w:eastAsia="仿宋" w:cs="仿宋"/>
          <w:sz w:val="28"/>
          <w:szCs w:val="28"/>
        </w:rPr>
      </w:pPr>
      <w:r>
        <w:rPr>
          <w:rFonts w:hint="eastAsia" w:ascii="仿宋" w:hAnsi="仿宋" w:eastAsia="仿宋" w:cs="仿宋"/>
          <w:sz w:val="28"/>
          <w:szCs w:val="28"/>
        </w:rPr>
        <w:t>签字日期：                       签字日期：</w:t>
      </w:r>
    </w:p>
    <w:p>
      <w:pPr>
        <w:spacing w:line="360" w:lineRule="auto"/>
        <w:rPr>
          <w:rFonts w:ascii="仿宋" w:hAnsi="仿宋" w:eastAsia="仿宋" w:cs="仿宋"/>
          <w:sz w:val="28"/>
          <w:szCs w:val="28"/>
        </w:rPr>
      </w:pPr>
      <w:r>
        <w:rPr>
          <w:rFonts w:hint="eastAsia" w:ascii="仿宋" w:hAnsi="仿宋" w:eastAsia="仿宋" w:cs="仿宋"/>
          <w:sz w:val="28"/>
          <w:szCs w:val="28"/>
        </w:rPr>
        <w:t>电 话：                           电 话：</w:t>
      </w:r>
      <w:r>
        <w:rPr>
          <w:rFonts w:hint="eastAsia" w:ascii="仿宋" w:hAnsi="仿宋" w:eastAsia="仿宋" w:cs="仿宋"/>
          <w:sz w:val="28"/>
          <w:szCs w:val="28"/>
        </w:rPr>
        <w:br w:type="textWrapping"/>
      </w:r>
      <w:r>
        <w:rPr>
          <w:rFonts w:hint="eastAsia" w:ascii="仿宋" w:hAnsi="仿宋" w:eastAsia="仿宋" w:cs="仿宋"/>
          <w:sz w:val="28"/>
          <w:szCs w:val="28"/>
        </w:rPr>
        <w:t>开户银行：工商银行招远支行       开户银行：</w:t>
      </w:r>
    </w:p>
    <w:p>
      <w:pPr>
        <w:spacing w:line="360" w:lineRule="auto"/>
        <w:rPr>
          <w:rFonts w:ascii="仿宋" w:hAnsi="仿宋" w:eastAsia="仿宋" w:cs="仿宋"/>
          <w:sz w:val="28"/>
          <w:szCs w:val="28"/>
        </w:rPr>
      </w:pPr>
      <w:r>
        <w:rPr>
          <w:rFonts w:hint="eastAsia" w:ascii="仿宋" w:hAnsi="仿宋" w:eastAsia="仿宋" w:cs="仿宋"/>
          <w:sz w:val="28"/>
          <w:szCs w:val="28"/>
        </w:rPr>
        <w:t>账 号：1606 0217 0902 4200 204    账 号：</w:t>
      </w:r>
    </w:p>
    <w:p>
      <w:pPr>
        <w:spacing w:line="360" w:lineRule="auto"/>
        <w:rPr>
          <w:rFonts w:ascii="仿宋" w:hAnsi="仿宋" w:eastAsia="仿宋" w:cs="仿宋"/>
          <w:sz w:val="28"/>
          <w:szCs w:val="28"/>
        </w:rPr>
      </w:pPr>
      <w:r>
        <w:rPr>
          <w:rFonts w:hint="eastAsia" w:ascii="仿宋" w:hAnsi="仿宋" w:eastAsia="仿宋" w:cs="仿宋"/>
          <w:sz w:val="28"/>
          <w:szCs w:val="28"/>
        </w:rPr>
        <w:t>税 号：9137 0000 6134 2205 47     税 号：</w:t>
      </w:r>
    </w:p>
    <w:p>
      <w:pPr>
        <w:pStyle w:val="7"/>
        <w:ind w:firstLine="0" w:firstLineChars="0"/>
      </w:pPr>
    </w:p>
    <w:p>
      <w:pPr>
        <w:pStyle w:val="10"/>
      </w:pPr>
    </w:p>
    <w:p>
      <w:pPr>
        <w:adjustRightInd w:val="0"/>
        <w:snapToGrid w:val="0"/>
        <w:spacing w:line="360" w:lineRule="auto"/>
        <w:ind w:firstLine="560" w:firstLineChars="200"/>
        <w:rPr>
          <w:rFonts w:ascii="仿宋" w:hAnsi="仿宋" w:eastAsia="仿宋" w:cs="仿宋"/>
          <w:sz w:val="28"/>
          <w:szCs w:val="28"/>
        </w:rPr>
      </w:pPr>
    </w:p>
    <w:p>
      <w:pPr>
        <w:adjustRightInd w:val="0"/>
        <w:snapToGrid w:val="0"/>
        <w:spacing w:line="360" w:lineRule="auto"/>
        <w:rPr>
          <w:szCs w:val="21"/>
        </w:rPr>
      </w:pPr>
    </w:p>
    <w:p>
      <w:pPr>
        <w:pStyle w:val="7"/>
        <w:ind w:firstLine="240"/>
        <w:rPr>
          <w:szCs w:val="21"/>
        </w:rPr>
      </w:pPr>
    </w:p>
    <w:p>
      <w:pPr>
        <w:pStyle w:val="7"/>
        <w:ind w:firstLine="0" w:firstLineChars="0"/>
        <w:rPr>
          <w:szCs w:val="21"/>
        </w:rPr>
      </w:pPr>
    </w:p>
    <w:p>
      <w:pPr>
        <w:pStyle w:val="7"/>
        <w:ind w:firstLine="321"/>
        <w:jc w:val="center"/>
        <w:rPr>
          <w:b/>
          <w:bCs/>
          <w:sz w:val="32"/>
          <w:szCs w:val="32"/>
        </w:rPr>
      </w:pPr>
      <w:r>
        <w:rPr>
          <w:rFonts w:hint="eastAsia"/>
          <w:b/>
          <w:bCs/>
          <w:sz w:val="32"/>
          <w:szCs w:val="32"/>
        </w:rPr>
        <w:t>技术附件</w:t>
      </w:r>
    </w:p>
    <w:p>
      <w:pPr>
        <w:pStyle w:val="7"/>
        <w:numPr>
          <w:ilvl w:val="0"/>
          <w:numId w:val="5"/>
        </w:numPr>
        <w:ind w:firstLine="0" w:firstLineChars="0"/>
        <w:rPr>
          <w:rFonts w:ascii="仿宋" w:hAnsi="仿宋" w:eastAsia="仿宋" w:cs="仿宋"/>
          <w:b/>
          <w:bCs/>
          <w:sz w:val="28"/>
          <w:szCs w:val="28"/>
        </w:rPr>
      </w:pPr>
      <w:r>
        <w:rPr>
          <w:rFonts w:hint="eastAsia" w:ascii="仿宋" w:hAnsi="仿宋" w:eastAsia="仿宋" w:cs="仿宋"/>
          <w:b/>
          <w:bCs/>
          <w:sz w:val="28"/>
          <w:szCs w:val="28"/>
        </w:rPr>
        <w:t>技术要求</w:t>
      </w:r>
    </w:p>
    <w:p>
      <w:pPr>
        <w:pStyle w:val="7"/>
        <w:numPr>
          <w:ilvl w:val="0"/>
          <w:numId w:val="5"/>
        </w:numPr>
        <w:ind w:firstLine="0" w:firstLineChars="0"/>
        <w:rPr>
          <w:rFonts w:ascii="仿宋" w:hAnsi="仿宋" w:eastAsia="仿宋" w:cs="仿宋"/>
          <w:b/>
          <w:bCs/>
          <w:sz w:val="28"/>
          <w:szCs w:val="28"/>
        </w:rPr>
      </w:pPr>
      <w:r>
        <w:rPr>
          <w:rFonts w:hint="eastAsia" w:ascii="仿宋" w:hAnsi="仿宋" w:eastAsia="仿宋" w:cs="仿宋"/>
          <w:b/>
          <w:bCs/>
          <w:sz w:val="28"/>
          <w:szCs w:val="28"/>
        </w:rPr>
        <w:t>设备或布置图纸（若有）</w:t>
      </w:r>
    </w:p>
    <w:p>
      <w:pPr>
        <w:pStyle w:val="7"/>
        <w:numPr>
          <w:ilvl w:val="0"/>
          <w:numId w:val="5"/>
        </w:numPr>
        <w:ind w:firstLine="0" w:firstLineChars="0"/>
        <w:rPr>
          <w:rFonts w:ascii="仿宋" w:hAnsi="仿宋" w:eastAsia="仿宋" w:cs="仿宋"/>
          <w:b/>
          <w:bCs/>
          <w:sz w:val="28"/>
          <w:szCs w:val="28"/>
        </w:rPr>
      </w:pPr>
      <w:r>
        <w:rPr>
          <w:rFonts w:hint="eastAsia" w:ascii="仿宋" w:hAnsi="仿宋" w:eastAsia="仿宋" w:cs="仿宋"/>
          <w:b/>
          <w:bCs/>
          <w:sz w:val="28"/>
          <w:szCs w:val="28"/>
        </w:rPr>
        <w:t>以下空白</w:t>
      </w:r>
    </w:p>
    <w:p>
      <w:pPr>
        <w:pStyle w:val="7"/>
        <w:ind w:firstLine="0" w:firstLineChars="0"/>
        <w:rPr>
          <w:rFonts w:ascii="仿宋" w:hAnsi="仿宋" w:eastAsia="仿宋" w:cs="仿宋"/>
          <w:b/>
          <w:bCs/>
          <w:sz w:val="28"/>
          <w:szCs w:val="28"/>
        </w:rPr>
      </w:pPr>
    </w:p>
    <w:p>
      <w:pPr>
        <w:pStyle w:val="7"/>
        <w:ind w:firstLine="0" w:firstLineChars="0"/>
        <w:rPr>
          <w:rFonts w:ascii="仿宋" w:hAnsi="仿宋" w:eastAsia="仿宋" w:cs="仿宋"/>
          <w:b/>
          <w:bCs/>
          <w:sz w:val="28"/>
          <w:szCs w:val="28"/>
        </w:rPr>
      </w:pPr>
    </w:p>
    <w:p>
      <w:pPr>
        <w:pStyle w:val="7"/>
        <w:ind w:firstLine="0" w:firstLineChars="0"/>
        <w:rPr>
          <w:rFonts w:ascii="仿宋" w:hAnsi="仿宋" w:eastAsia="仿宋" w:cs="仿宋"/>
          <w:b/>
          <w:bCs/>
          <w:sz w:val="28"/>
          <w:szCs w:val="28"/>
        </w:rPr>
      </w:pPr>
    </w:p>
    <w:p>
      <w:pPr>
        <w:pStyle w:val="7"/>
        <w:ind w:firstLine="0" w:firstLineChars="0"/>
        <w:rPr>
          <w:rFonts w:ascii="仿宋" w:hAnsi="仿宋" w:eastAsia="仿宋" w:cs="仿宋"/>
          <w:b/>
          <w:bCs/>
          <w:sz w:val="28"/>
          <w:szCs w:val="28"/>
        </w:rPr>
      </w:pPr>
    </w:p>
    <w:p>
      <w:pPr>
        <w:pStyle w:val="7"/>
        <w:ind w:firstLine="0" w:firstLineChars="0"/>
        <w:rPr>
          <w:rFonts w:ascii="仿宋" w:hAnsi="仿宋" w:eastAsia="仿宋" w:cs="仿宋"/>
          <w:b/>
          <w:bCs/>
          <w:sz w:val="28"/>
          <w:szCs w:val="28"/>
        </w:rPr>
      </w:pPr>
    </w:p>
    <w:p>
      <w:pPr>
        <w:pStyle w:val="7"/>
        <w:ind w:firstLine="0" w:firstLineChars="0"/>
        <w:rPr>
          <w:rFonts w:ascii="仿宋" w:hAnsi="仿宋" w:eastAsia="仿宋" w:cs="仿宋"/>
          <w:b/>
          <w:bCs/>
          <w:sz w:val="28"/>
          <w:szCs w:val="28"/>
        </w:rPr>
      </w:pPr>
      <w:r>
        <w:rPr>
          <w:rFonts w:hint="eastAsia" w:ascii="仿宋" w:hAnsi="仿宋" w:eastAsia="仿宋" w:cs="仿宋"/>
          <w:b/>
          <w:bCs/>
          <w:sz w:val="28"/>
          <w:szCs w:val="28"/>
        </w:rPr>
        <w:t>甲方合同章                               乙方合同章</w:t>
      </w:r>
    </w:p>
    <w:p>
      <w:pPr>
        <w:pStyle w:val="7"/>
        <w:ind w:firstLine="0" w:firstLineChars="0"/>
        <w:rPr>
          <w:rFonts w:ascii="仿宋" w:hAnsi="仿宋" w:eastAsia="仿宋" w:cs="仿宋"/>
          <w:b/>
          <w:bCs/>
          <w:sz w:val="28"/>
          <w:szCs w:val="28"/>
        </w:rPr>
      </w:pPr>
    </w:p>
    <w:p>
      <w:pPr>
        <w:pStyle w:val="7"/>
        <w:ind w:firstLine="0" w:firstLineChars="0"/>
        <w:rPr>
          <w:rFonts w:ascii="仿宋" w:hAnsi="仿宋" w:eastAsia="仿宋" w:cs="仿宋"/>
          <w:b/>
          <w:bCs/>
          <w:sz w:val="28"/>
          <w:szCs w:val="28"/>
        </w:rPr>
      </w:pPr>
    </w:p>
    <w:p>
      <w:pPr>
        <w:spacing w:line="360" w:lineRule="auto"/>
        <w:jc w:val="left"/>
        <w:rPr>
          <w:rFonts w:ascii="宋体" w:hAnsi="宋体" w:cs="宋体"/>
          <w:b/>
          <w:bCs/>
          <w:sz w:val="28"/>
          <w:szCs w:val="28"/>
        </w:rPr>
      </w:pPr>
    </w:p>
    <w:p>
      <w:pPr>
        <w:spacing w:line="360" w:lineRule="auto"/>
        <w:jc w:val="left"/>
        <w:rPr>
          <w:rFonts w:ascii="宋体" w:hAnsi="宋体" w:cs="宋体"/>
          <w:b/>
          <w:bCs/>
          <w:sz w:val="28"/>
          <w:szCs w:val="28"/>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auto"/>
    <w:pitch w:val="default"/>
    <w:sig w:usb0="00000000" w:usb1="00000000" w:usb2="00000000" w:usb3="00000000" w:csb0="00040000" w:csb1="00000000"/>
  </w:font>
  <w:font w:name="DFKai-SB">
    <w:panose1 w:val="03000509000000000000"/>
    <w:charset w:val="88"/>
    <w:family w:val="script"/>
    <w:pitch w:val="default"/>
    <w:sig w:usb0="00000003" w:usb1="082E0000" w:usb2="00000016" w:usb3="00000000" w:csb0="00100001" w:csb1="00000000"/>
  </w:font>
  <w:font w:name="中楷體">
    <w:altName w:val="宋体"/>
    <w:panose1 w:val="00000000000000000000"/>
    <w:charset w:val="88"/>
    <w:family w:val="roma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富漢通標中楷">
    <w:altName w:val="宋体"/>
    <w:panose1 w:val="00000000000000000000"/>
    <w:charset w:val="88"/>
    <w:family w:val="modern"/>
    <w:pitch w:val="default"/>
    <w:sig w:usb0="00000000" w:usb1="00000000" w:usb2="00000010" w:usb3="00000000" w:csb0="00100000" w:csb1="00000000"/>
  </w:font>
  <w:font w:name="仿宋_GB2312">
    <w:altName w:val="仿宋"/>
    <w:panose1 w:val="00000000000000000000"/>
    <w:charset w:val="86"/>
    <w:family w:val="modern"/>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7F" w:usb3="00000000" w:csb0="003F01FF" w:csb1="00000000"/>
  </w:font>
  <w:font w:name="Tahoma">
    <w:panose1 w:val="020B0604030504040204"/>
    <w:charset w:val="00"/>
    <w:family w:val="swiss"/>
    <w:pitch w:val="default"/>
    <w:sig w:usb0="E1002EFF" w:usb1="C000605B" w:usb2="00000029" w:usb3="00000000" w:csb0="200101FF" w:csb1="20280000"/>
  </w:font>
  <w:font w:name="MingLiU">
    <w:panose1 w:val="02020509000000000000"/>
    <w:charset w:val="88"/>
    <w:family w:val="modern"/>
    <w:pitch w:val="default"/>
    <w:sig w:usb0="A00002FF" w:usb1="28CFFCFA" w:usb2="00000016" w:usb3="00000000" w:csb0="00100001"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fldChar w:fldCharType="begin"/>
    </w:r>
    <w:r>
      <w:instrText xml:space="preserve">PAGE   \* MERGEFORMAT</w:instrText>
    </w:r>
    <w:r>
      <w:fldChar w:fldCharType="separate"/>
    </w:r>
    <w:r>
      <w:rPr>
        <w:lang w:val="zh-CN"/>
      </w:rPr>
      <w:t>6</w:t>
    </w:r>
    <w:r>
      <w:fldChar w:fldCharType="end"/>
    </w:r>
  </w:p>
  <w:p>
    <w:pPr>
      <w:pStyle w:val="1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D4898B1"/>
    <w:multiLevelType w:val="singleLevel"/>
    <w:tmpl w:val="AD4898B1"/>
    <w:lvl w:ilvl="0" w:tentative="0">
      <w:start w:val="4"/>
      <w:numFmt w:val="chineseCounting"/>
      <w:suff w:val="space"/>
      <w:lvlText w:val="第%1部分"/>
      <w:lvlJc w:val="left"/>
      <w:pPr>
        <w:ind w:left="420"/>
      </w:pPr>
      <w:rPr>
        <w:rFonts w:hint="eastAsia"/>
      </w:rPr>
    </w:lvl>
  </w:abstractNum>
  <w:abstractNum w:abstractNumId="1">
    <w:nsid w:val="0000000A"/>
    <w:multiLevelType w:val="multilevel"/>
    <w:tmpl w:val="0000000A"/>
    <w:lvl w:ilvl="0" w:tentative="0">
      <w:start w:val="1"/>
      <w:numFmt w:val="taiwaneseCountingThousand"/>
      <w:lvlText w:val="第%1章"/>
      <w:lvlJc w:val="left"/>
      <w:pPr>
        <w:tabs>
          <w:tab w:val="left" w:pos="1080"/>
        </w:tabs>
        <w:ind w:left="425" w:hanging="425"/>
      </w:pPr>
      <w:rPr>
        <w:rFonts w:hint="eastAsia" w:ascii="楷体_GB2312" w:eastAsia="楷体_GB2312"/>
        <w:b/>
        <w:i w:val="0"/>
        <w:sz w:val="32"/>
      </w:rPr>
    </w:lvl>
    <w:lvl w:ilvl="1" w:tentative="0">
      <w:start w:val="1"/>
      <w:numFmt w:val="taiwaneseCountingThousand"/>
      <w:lvlText w:val="第%2節"/>
      <w:lvlJc w:val="left"/>
      <w:pPr>
        <w:tabs>
          <w:tab w:val="left" w:pos="4080"/>
        </w:tabs>
        <w:ind w:left="3425" w:hanging="425"/>
      </w:pPr>
      <w:rPr>
        <w:rFonts w:hint="eastAsia" w:ascii="DFKai-SB" w:eastAsia="DFKai-SB"/>
        <w:b w:val="0"/>
        <w:i w:val="0"/>
        <w:sz w:val="32"/>
      </w:rPr>
    </w:lvl>
    <w:lvl w:ilvl="2" w:tentative="0">
      <w:start w:val="1"/>
      <w:numFmt w:val="taiwaneseCountingThousand"/>
      <w:pStyle w:val="5"/>
      <w:lvlText w:val="%3、"/>
      <w:lvlJc w:val="left"/>
      <w:pPr>
        <w:tabs>
          <w:tab w:val="left" w:pos="1275"/>
        </w:tabs>
        <w:ind w:left="1275" w:hanging="425"/>
      </w:pPr>
      <w:rPr>
        <w:rFonts w:hint="eastAsia" w:ascii="楷体_GB2312" w:eastAsia="楷体_GB2312"/>
        <w:b w:val="0"/>
        <w:i w:val="0"/>
        <w:sz w:val="28"/>
      </w:rPr>
    </w:lvl>
    <w:lvl w:ilvl="3" w:tentative="0">
      <w:start w:val="1"/>
      <w:numFmt w:val="decimal"/>
      <w:lvlText w:val="( %4 ) "/>
      <w:lvlJc w:val="left"/>
      <w:pPr>
        <w:tabs>
          <w:tab w:val="left" w:pos="1618"/>
        </w:tabs>
        <w:ind w:left="1618" w:hanging="538"/>
      </w:pPr>
      <w:rPr>
        <w:rFonts w:hint="default" w:ascii="Times New Roman" w:hAnsi="Times New Roman"/>
        <w:b w:val="0"/>
        <w:i/>
        <w:sz w:val="26"/>
      </w:rPr>
    </w:lvl>
    <w:lvl w:ilvl="4" w:tentative="0">
      <w:start w:val="1"/>
      <w:numFmt w:val="lowerLetter"/>
      <w:lvlText w:val="%5.)"/>
      <w:lvlJc w:val="left"/>
      <w:pPr>
        <w:tabs>
          <w:tab w:val="left" w:pos="2381"/>
        </w:tabs>
        <w:ind w:left="2381" w:hanging="680"/>
      </w:pPr>
      <w:rPr>
        <w:rFonts w:hint="default" w:ascii="Times New Roman" w:hAnsi="Times New Roman"/>
        <w:b w:val="0"/>
        <w:i/>
        <w:sz w:val="24"/>
      </w:rPr>
    </w:lvl>
    <w:lvl w:ilvl="5" w:tentative="0">
      <w:start w:val="3"/>
      <w:numFmt w:val="none"/>
      <w:lvlText w:val=""/>
      <w:lvlJc w:val="left"/>
      <w:pPr>
        <w:tabs>
          <w:tab w:val="left" w:pos="2551"/>
        </w:tabs>
        <w:ind w:left="2551" w:hanging="425"/>
      </w:pPr>
      <w:rPr>
        <w:rFonts w:hint="default" w:ascii="Wingdings" w:hAnsi="Wingdings"/>
        <w:b w:val="0"/>
        <w:i w:val="0"/>
        <w:sz w:val="24"/>
      </w:rPr>
    </w:lvl>
    <w:lvl w:ilvl="6" w:tentative="0">
      <w:start w:val="1"/>
      <w:numFmt w:val="lowerRoman"/>
      <w:lvlText w:val="%7)"/>
      <w:lvlJc w:val="left"/>
      <w:pPr>
        <w:tabs>
          <w:tab w:val="left" w:pos="3158"/>
        </w:tabs>
        <w:ind w:left="2552" w:hanging="114"/>
      </w:pPr>
      <w:rPr>
        <w:rFonts w:hint="default" w:ascii="Times New Roman" w:hAnsi="Times New Roman"/>
        <w:b w:val="0"/>
        <w:i/>
        <w:sz w:val="24"/>
        <w:u w:val="none"/>
      </w:rPr>
    </w:lvl>
    <w:lvl w:ilvl="7" w:tentative="0">
      <w:start w:val="1"/>
      <w:numFmt w:val="none"/>
      <w:suff w:val="nothing"/>
      <w:lvlText w:val=""/>
      <w:lvlJc w:val="left"/>
      <w:pPr>
        <w:ind w:left="3401" w:hanging="425"/>
      </w:pPr>
      <w:rPr>
        <w:rFonts w:hint="eastAsia" w:ascii="中楷體" w:eastAsia="PMingLiU"/>
        <w:b w:val="0"/>
        <w:i w:val="0"/>
        <w:sz w:val="24"/>
      </w:rPr>
    </w:lvl>
    <w:lvl w:ilvl="8" w:tentative="0">
      <w:start w:val="1"/>
      <w:numFmt w:val="none"/>
      <w:suff w:val="nothing"/>
      <w:lvlText w:val=""/>
      <w:lvlJc w:val="left"/>
      <w:pPr>
        <w:ind w:left="3826" w:hanging="425"/>
      </w:pPr>
      <w:rPr>
        <w:rFonts w:hint="eastAsia" w:ascii="中楷體" w:eastAsia="PMingLiU"/>
        <w:b w:val="0"/>
        <w:i w:val="0"/>
        <w:sz w:val="24"/>
      </w:rPr>
    </w:lvl>
  </w:abstractNum>
  <w:abstractNum w:abstractNumId="2">
    <w:nsid w:val="0CB2AABC"/>
    <w:multiLevelType w:val="singleLevel"/>
    <w:tmpl w:val="0CB2AABC"/>
    <w:lvl w:ilvl="0" w:tentative="0">
      <w:start w:val="1"/>
      <w:numFmt w:val="decimal"/>
      <w:lvlText w:val="%1."/>
      <w:lvlJc w:val="left"/>
      <w:pPr>
        <w:tabs>
          <w:tab w:val="left" w:pos="312"/>
        </w:tabs>
      </w:pPr>
    </w:lvl>
  </w:abstractNum>
  <w:abstractNum w:abstractNumId="3">
    <w:nsid w:val="39F847BF"/>
    <w:multiLevelType w:val="singleLevel"/>
    <w:tmpl w:val="39F847BF"/>
    <w:lvl w:ilvl="0" w:tentative="0">
      <w:start w:val="13"/>
      <w:numFmt w:val="chineseCounting"/>
      <w:suff w:val="nothing"/>
      <w:lvlText w:val="%1、"/>
      <w:lvlJc w:val="left"/>
      <w:rPr>
        <w:rFonts w:hint="eastAsia"/>
      </w:rPr>
    </w:lvl>
  </w:abstractNum>
  <w:abstractNum w:abstractNumId="4">
    <w:nsid w:val="58026870"/>
    <w:multiLevelType w:val="singleLevel"/>
    <w:tmpl w:val="58026870"/>
    <w:lvl w:ilvl="0" w:tentative="0">
      <w:start w:val="1"/>
      <w:numFmt w:val="chineseCounting"/>
      <w:suff w:val="nothing"/>
      <w:lvlText w:val="%1、"/>
      <w:lvlJc w:val="left"/>
      <w:pPr>
        <w:ind w:left="68"/>
      </w:pPr>
      <w:rPr>
        <w:rFonts w:hint="eastAsia"/>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4OTYyNDBlN2RmMGRiNThjZTFhZTgyNjVmNDdkMDYifQ=="/>
  </w:docVars>
  <w:rsids>
    <w:rsidRoot w:val="14D70820"/>
    <w:rsid w:val="000140A9"/>
    <w:rsid w:val="0002639C"/>
    <w:rsid w:val="00036F46"/>
    <w:rsid w:val="000A04FB"/>
    <w:rsid w:val="000B46A5"/>
    <w:rsid w:val="000E1E8C"/>
    <w:rsid w:val="000F2FB0"/>
    <w:rsid w:val="001123F1"/>
    <w:rsid w:val="001217FC"/>
    <w:rsid w:val="0013572F"/>
    <w:rsid w:val="00153B2F"/>
    <w:rsid w:val="00165DD6"/>
    <w:rsid w:val="00171663"/>
    <w:rsid w:val="001815FF"/>
    <w:rsid w:val="001D0E12"/>
    <w:rsid w:val="00234FE5"/>
    <w:rsid w:val="00242018"/>
    <w:rsid w:val="002427B8"/>
    <w:rsid w:val="002D4611"/>
    <w:rsid w:val="002F2886"/>
    <w:rsid w:val="0031742A"/>
    <w:rsid w:val="00385165"/>
    <w:rsid w:val="00391C5D"/>
    <w:rsid w:val="00434F86"/>
    <w:rsid w:val="00447816"/>
    <w:rsid w:val="004701DC"/>
    <w:rsid w:val="00483D29"/>
    <w:rsid w:val="0048716E"/>
    <w:rsid w:val="00496BF6"/>
    <w:rsid w:val="004C1FC6"/>
    <w:rsid w:val="004C454A"/>
    <w:rsid w:val="004F2EB8"/>
    <w:rsid w:val="00521AEB"/>
    <w:rsid w:val="0054194C"/>
    <w:rsid w:val="00543389"/>
    <w:rsid w:val="00544194"/>
    <w:rsid w:val="00551890"/>
    <w:rsid w:val="0056641B"/>
    <w:rsid w:val="005B5E50"/>
    <w:rsid w:val="005D1CFE"/>
    <w:rsid w:val="005E6299"/>
    <w:rsid w:val="005E6B4B"/>
    <w:rsid w:val="005F63CB"/>
    <w:rsid w:val="00670B15"/>
    <w:rsid w:val="006A6992"/>
    <w:rsid w:val="006D6272"/>
    <w:rsid w:val="007106C3"/>
    <w:rsid w:val="00737F44"/>
    <w:rsid w:val="00746246"/>
    <w:rsid w:val="007576FD"/>
    <w:rsid w:val="00795268"/>
    <w:rsid w:val="007A16DB"/>
    <w:rsid w:val="007C5761"/>
    <w:rsid w:val="007D3360"/>
    <w:rsid w:val="007E7E97"/>
    <w:rsid w:val="00810526"/>
    <w:rsid w:val="0081621E"/>
    <w:rsid w:val="008269DC"/>
    <w:rsid w:val="00850D25"/>
    <w:rsid w:val="00877824"/>
    <w:rsid w:val="00894F8F"/>
    <w:rsid w:val="008B3612"/>
    <w:rsid w:val="0090361E"/>
    <w:rsid w:val="00905EC2"/>
    <w:rsid w:val="00912E27"/>
    <w:rsid w:val="00922039"/>
    <w:rsid w:val="00924D21"/>
    <w:rsid w:val="00944C5C"/>
    <w:rsid w:val="0095248A"/>
    <w:rsid w:val="00963A40"/>
    <w:rsid w:val="009650B7"/>
    <w:rsid w:val="0096714F"/>
    <w:rsid w:val="00972BC5"/>
    <w:rsid w:val="009B6753"/>
    <w:rsid w:val="009C5307"/>
    <w:rsid w:val="009C6F1B"/>
    <w:rsid w:val="009D5B70"/>
    <w:rsid w:val="009E1A4D"/>
    <w:rsid w:val="00A31994"/>
    <w:rsid w:val="00A37EC4"/>
    <w:rsid w:val="00A6047A"/>
    <w:rsid w:val="00A640F3"/>
    <w:rsid w:val="00A80FD0"/>
    <w:rsid w:val="00AD7E89"/>
    <w:rsid w:val="00B02199"/>
    <w:rsid w:val="00B02A04"/>
    <w:rsid w:val="00B142FC"/>
    <w:rsid w:val="00B357E0"/>
    <w:rsid w:val="00B37251"/>
    <w:rsid w:val="00B637ED"/>
    <w:rsid w:val="00B75E47"/>
    <w:rsid w:val="00B858A1"/>
    <w:rsid w:val="00BC3855"/>
    <w:rsid w:val="00BE2C08"/>
    <w:rsid w:val="00C327A2"/>
    <w:rsid w:val="00C354EF"/>
    <w:rsid w:val="00C756C1"/>
    <w:rsid w:val="00CA062E"/>
    <w:rsid w:val="00D32089"/>
    <w:rsid w:val="00D3366E"/>
    <w:rsid w:val="00D813B1"/>
    <w:rsid w:val="00D863A5"/>
    <w:rsid w:val="00D96332"/>
    <w:rsid w:val="00DC5C24"/>
    <w:rsid w:val="00DC7629"/>
    <w:rsid w:val="00DE0206"/>
    <w:rsid w:val="00DE7334"/>
    <w:rsid w:val="00DF7BE7"/>
    <w:rsid w:val="00E108FE"/>
    <w:rsid w:val="00E15EAC"/>
    <w:rsid w:val="00E225CA"/>
    <w:rsid w:val="00E227AF"/>
    <w:rsid w:val="00E42BF4"/>
    <w:rsid w:val="00E602BD"/>
    <w:rsid w:val="00E80FFB"/>
    <w:rsid w:val="00F04AE1"/>
    <w:rsid w:val="00F1223D"/>
    <w:rsid w:val="00F20309"/>
    <w:rsid w:val="00F33E6B"/>
    <w:rsid w:val="00F82C9E"/>
    <w:rsid w:val="00F9392B"/>
    <w:rsid w:val="00F94F76"/>
    <w:rsid w:val="00FB7FD4"/>
    <w:rsid w:val="00FD03BA"/>
    <w:rsid w:val="00FF037C"/>
    <w:rsid w:val="00FF5E3A"/>
    <w:rsid w:val="016C7AD7"/>
    <w:rsid w:val="02BB738B"/>
    <w:rsid w:val="02ED32E2"/>
    <w:rsid w:val="035169D7"/>
    <w:rsid w:val="0381181E"/>
    <w:rsid w:val="03AE5119"/>
    <w:rsid w:val="045B6036"/>
    <w:rsid w:val="05026EBE"/>
    <w:rsid w:val="052F7BE9"/>
    <w:rsid w:val="05B67C66"/>
    <w:rsid w:val="06A271B1"/>
    <w:rsid w:val="07CD77B7"/>
    <w:rsid w:val="07E354E8"/>
    <w:rsid w:val="07F77C37"/>
    <w:rsid w:val="08AB272F"/>
    <w:rsid w:val="098B184A"/>
    <w:rsid w:val="0AC26D44"/>
    <w:rsid w:val="0C6857F4"/>
    <w:rsid w:val="0CA41073"/>
    <w:rsid w:val="0CBD0BA0"/>
    <w:rsid w:val="0D39382C"/>
    <w:rsid w:val="0D577B1C"/>
    <w:rsid w:val="0DB77E27"/>
    <w:rsid w:val="0DDA5592"/>
    <w:rsid w:val="0DEA10C2"/>
    <w:rsid w:val="0F356183"/>
    <w:rsid w:val="0FB31F58"/>
    <w:rsid w:val="107E1436"/>
    <w:rsid w:val="107F16C6"/>
    <w:rsid w:val="12632784"/>
    <w:rsid w:val="1326147D"/>
    <w:rsid w:val="13954AF2"/>
    <w:rsid w:val="14084486"/>
    <w:rsid w:val="14AA2FA2"/>
    <w:rsid w:val="14D70820"/>
    <w:rsid w:val="154C171A"/>
    <w:rsid w:val="16573CF5"/>
    <w:rsid w:val="17276652"/>
    <w:rsid w:val="176E28B1"/>
    <w:rsid w:val="1848257D"/>
    <w:rsid w:val="18AB3EEC"/>
    <w:rsid w:val="1932761B"/>
    <w:rsid w:val="193E4100"/>
    <w:rsid w:val="194F374C"/>
    <w:rsid w:val="199D333E"/>
    <w:rsid w:val="1A120CF6"/>
    <w:rsid w:val="1B5C3AEE"/>
    <w:rsid w:val="1BB6429E"/>
    <w:rsid w:val="1C2D4B10"/>
    <w:rsid w:val="1C9758C0"/>
    <w:rsid w:val="1E0848A5"/>
    <w:rsid w:val="1E120CC9"/>
    <w:rsid w:val="1E3F18D8"/>
    <w:rsid w:val="1EC55806"/>
    <w:rsid w:val="1F006AA1"/>
    <w:rsid w:val="1F456344"/>
    <w:rsid w:val="1F49252D"/>
    <w:rsid w:val="1FBA1230"/>
    <w:rsid w:val="1FD2678C"/>
    <w:rsid w:val="2086686B"/>
    <w:rsid w:val="215C431F"/>
    <w:rsid w:val="219A24C7"/>
    <w:rsid w:val="22BB5C03"/>
    <w:rsid w:val="233D6EE4"/>
    <w:rsid w:val="23557DEB"/>
    <w:rsid w:val="24231D8E"/>
    <w:rsid w:val="247023DC"/>
    <w:rsid w:val="25915A0E"/>
    <w:rsid w:val="261A4D4C"/>
    <w:rsid w:val="27C33CA0"/>
    <w:rsid w:val="27DB4C84"/>
    <w:rsid w:val="29784C0C"/>
    <w:rsid w:val="29BD0CB1"/>
    <w:rsid w:val="2A5B1200"/>
    <w:rsid w:val="2A6A5A19"/>
    <w:rsid w:val="2A8B0391"/>
    <w:rsid w:val="2A90520C"/>
    <w:rsid w:val="2AF94DA4"/>
    <w:rsid w:val="2B5108D7"/>
    <w:rsid w:val="2B7C2FDF"/>
    <w:rsid w:val="2BE66046"/>
    <w:rsid w:val="2D610DD5"/>
    <w:rsid w:val="2E2711A0"/>
    <w:rsid w:val="2E5D170F"/>
    <w:rsid w:val="2E7F6FA9"/>
    <w:rsid w:val="2F432A68"/>
    <w:rsid w:val="2F5B2D15"/>
    <w:rsid w:val="2FE4516D"/>
    <w:rsid w:val="2FFF30A4"/>
    <w:rsid w:val="30974239"/>
    <w:rsid w:val="310D6EE4"/>
    <w:rsid w:val="315F5763"/>
    <w:rsid w:val="31B30842"/>
    <w:rsid w:val="32002AA0"/>
    <w:rsid w:val="3202624E"/>
    <w:rsid w:val="331B05DA"/>
    <w:rsid w:val="335F0CF5"/>
    <w:rsid w:val="337046B7"/>
    <w:rsid w:val="34377F50"/>
    <w:rsid w:val="38126077"/>
    <w:rsid w:val="39B572D8"/>
    <w:rsid w:val="3BA34B58"/>
    <w:rsid w:val="3DBC1C61"/>
    <w:rsid w:val="3E244A6F"/>
    <w:rsid w:val="3E25152A"/>
    <w:rsid w:val="3EB55BB3"/>
    <w:rsid w:val="3EBD4BC5"/>
    <w:rsid w:val="3F063761"/>
    <w:rsid w:val="3F437C92"/>
    <w:rsid w:val="3FC521F4"/>
    <w:rsid w:val="3FFA719D"/>
    <w:rsid w:val="3FFD27E9"/>
    <w:rsid w:val="406C535E"/>
    <w:rsid w:val="41927AA1"/>
    <w:rsid w:val="42174B12"/>
    <w:rsid w:val="42C8625A"/>
    <w:rsid w:val="43935301"/>
    <w:rsid w:val="45011451"/>
    <w:rsid w:val="45265C8A"/>
    <w:rsid w:val="452830CA"/>
    <w:rsid w:val="45963D09"/>
    <w:rsid w:val="464B432A"/>
    <w:rsid w:val="47A535C3"/>
    <w:rsid w:val="47D878DE"/>
    <w:rsid w:val="48074EF1"/>
    <w:rsid w:val="49586F36"/>
    <w:rsid w:val="4AB16BFA"/>
    <w:rsid w:val="4AC23C30"/>
    <w:rsid w:val="4AE253FD"/>
    <w:rsid w:val="4B7F7BEF"/>
    <w:rsid w:val="4BC36D1C"/>
    <w:rsid w:val="4CA95EBA"/>
    <w:rsid w:val="4DFC6236"/>
    <w:rsid w:val="4E7F1644"/>
    <w:rsid w:val="4F6022C6"/>
    <w:rsid w:val="50E157AF"/>
    <w:rsid w:val="51AD6F01"/>
    <w:rsid w:val="522608A4"/>
    <w:rsid w:val="52D954E2"/>
    <w:rsid w:val="538B5D6C"/>
    <w:rsid w:val="546759DA"/>
    <w:rsid w:val="547C4E2A"/>
    <w:rsid w:val="54C67B58"/>
    <w:rsid w:val="558F6036"/>
    <w:rsid w:val="56087CD9"/>
    <w:rsid w:val="56CC1731"/>
    <w:rsid w:val="585F27E8"/>
    <w:rsid w:val="59014C9E"/>
    <w:rsid w:val="59E317AE"/>
    <w:rsid w:val="59F20861"/>
    <w:rsid w:val="5A181637"/>
    <w:rsid w:val="5A3E0E24"/>
    <w:rsid w:val="5BA317CE"/>
    <w:rsid w:val="5C4857DD"/>
    <w:rsid w:val="5D054434"/>
    <w:rsid w:val="5EA87FAD"/>
    <w:rsid w:val="5EAD22CF"/>
    <w:rsid w:val="5F872449"/>
    <w:rsid w:val="614757BD"/>
    <w:rsid w:val="63121893"/>
    <w:rsid w:val="63522F48"/>
    <w:rsid w:val="636546D8"/>
    <w:rsid w:val="64AB558A"/>
    <w:rsid w:val="64CE605A"/>
    <w:rsid w:val="657010B4"/>
    <w:rsid w:val="664E4B8E"/>
    <w:rsid w:val="68AA6A1B"/>
    <w:rsid w:val="69F446D6"/>
    <w:rsid w:val="6C5B0004"/>
    <w:rsid w:val="6DC2661B"/>
    <w:rsid w:val="6DC63BDB"/>
    <w:rsid w:val="6ED001FE"/>
    <w:rsid w:val="6EEE42F9"/>
    <w:rsid w:val="6F2B14FF"/>
    <w:rsid w:val="70E1391E"/>
    <w:rsid w:val="712C5A62"/>
    <w:rsid w:val="721752BB"/>
    <w:rsid w:val="72CF25B1"/>
    <w:rsid w:val="7452317D"/>
    <w:rsid w:val="753D7DC7"/>
    <w:rsid w:val="75936E93"/>
    <w:rsid w:val="760A5128"/>
    <w:rsid w:val="76181B36"/>
    <w:rsid w:val="762844F9"/>
    <w:rsid w:val="76717789"/>
    <w:rsid w:val="794E0520"/>
    <w:rsid w:val="79AF0BD5"/>
    <w:rsid w:val="7B0F54EB"/>
    <w:rsid w:val="7D0A386C"/>
    <w:rsid w:val="7D7D5940"/>
    <w:rsid w:val="7DBF31F1"/>
    <w:rsid w:val="7DD11D60"/>
    <w:rsid w:val="7E924DEC"/>
    <w:rsid w:val="7FD50C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uiPriority="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3"/>
    <w:basedOn w:val="1"/>
    <w:next w:val="1"/>
    <w:qFormat/>
    <w:uiPriority w:val="0"/>
    <w:pPr>
      <w:keepNext/>
      <w:numPr>
        <w:ilvl w:val="2"/>
        <w:numId w:val="1"/>
      </w:numPr>
      <w:tabs>
        <w:tab w:val="left" w:pos="1080"/>
        <w:tab w:val="left" w:pos="1440"/>
      </w:tabs>
      <w:adjustRightInd w:val="0"/>
      <w:spacing w:line="360" w:lineRule="exact"/>
      <w:jc w:val="left"/>
      <w:textAlignment w:val="baseline"/>
      <w:outlineLvl w:val="2"/>
    </w:pPr>
    <w:rPr>
      <w:rFonts w:eastAsia="富漢通標中楷"/>
      <w:kern w:val="0"/>
      <w:sz w:val="28"/>
      <w:szCs w:val="20"/>
      <w:lang w:eastAsia="zh-TW"/>
    </w:rPr>
  </w:style>
  <w:style w:type="paragraph" w:styleId="6">
    <w:name w:val="heading 4"/>
    <w:basedOn w:val="1"/>
    <w:next w:val="1"/>
    <w:qFormat/>
    <w:uiPriority w:val="1"/>
    <w:pPr>
      <w:spacing w:line="312" w:lineRule="exact"/>
      <w:ind w:left="840" w:hanging="720"/>
      <w:outlineLvl w:val="3"/>
    </w:pPr>
    <w:rPr>
      <w:b/>
      <w:bCs/>
      <w:sz w:val="24"/>
    </w:rPr>
  </w:style>
  <w:style w:type="character" w:default="1" w:styleId="15">
    <w:name w:val="Default Paragraph Font"/>
    <w:semiHidden/>
    <w:unhideWhenUsed/>
    <w:qFormat/>
    <w:uiPriority w:val="1"/>
  </w:style>
  <w:style w:type="table" w:default="1" w:styleId="16">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First Indent 2"/>
    <w:basedOn w:val="3"/>
    <w:next w:val="1"/>
    <w:qFormat/>
    <w:uiPriority w:val="0"/>
    <w:pPr>
      <w:tabs>
        <w:tab w:val="left" w:pos="930"/>
      </w:tabs>
      <w:ind w:firstLine="420" w:firstLineChars="200"/>
    </w:pPr>
    <w:rPr>
      <w:szCs w:val="24"/>
    </w:rPr>
  </w:style>
  <w:style w:type="paragraph" w:styleId="3">
    <w:name w:val="Body Text Indent"/>
    <w:basedOn w:val="1"/>
    <w:next w:val="4"/>
    <w:qFormat/>
    <w:uiPriority w:val="0"/>
    <w:pPr>
      <w:autoSpaceDE w:val="0"/>
      <w:autoSpaceDN w:val="0"/>
      <w:adjustRightInd w:val="0"/>
      <w:spacing w:line="360" w:lineRule="auto"/>
      <w:ind w:firstLine="567"/>
      <w:textAlignment w:val="baseline"/>
    </w:pPr>
    <w:rPr>
      <w:rFonts w:ascii="仿宋_GB2312" w:eastAsia="仿宋_GB2312"/>
      <w:kern w:val="0"/>
      <w:sz w:val="32"/>
      <w:szCs w:val="32"/>
    </w:rPr>
  </w:style>
  <w:style w:type="paragraph" w:styleId="4">
    <w:name w:val="envelope return"/>
    <w:basedOn w:val="1"/>
    <w:qFormat/>
    <w:uiPriority w:val="0"/>
    <w:pPr>
      <w:snapToGrid w:val="0"/>
    </w:pPr>
    <w:rPr>
      <w:rFonts w:ascii="Arial" w:hAnsi="Arial"/>
    </w:rPr>
  </w:style>
  <w:style w:type="paragraph" w:styleId="7">
    <w:name w:val="Body Text First Indent"/>
    <w:basedOn w:val="8"/>
    <w:qFormat/>
    <w:uiPriority w:val="0"/>
    <w:pPr>
      <w:topLinePunct/>
      <w:spacing w:line="360" w:lineRule="auto"/>
      <w:ind w:firstLine="420" w:firstLineChars="100"/>
    </w:pPr>
    <w:rPr>
      <w:kern w:val="0"/>
      <w:sz w:val="24"/>
    </w:rPr>
  </w:style>
  <w:style w:type="paragraph" w:styleId="8">
    <w:name w:val="Body Text"/>
    <w:basedOn w:val="1"/>
    <w:qFormat/>
    <w:uiPriority w:val="0"/>
    <w:pPr>
      <w:spacing w:after="120"/>
    </w:pPr>
    <w:rPr>
      <w:szCs w:val="20"/>
    </w:rPr>
  </w:style>
  <w:style w:type="paragraph" w:styleId="9">
    <w:name w:val="annotation text"/>
    <w:basedOn w:val="1"/>
    <w:unhideWhenUsed/>
    <w:qFormat/>
    <w:uiPriority w:val="0"/>
    <w:pPr>
      <w:jc w:val="left"/>
    </w:pPr>
  </w:style>
  <w:style w:type="paragraph" w:styleId="10">
    <w:name w:val="Plain Text"/>
    <w:basedOn w:val="1"/>
    <w:next w:val="1"/>
    <w:qFormat/>
    <w:uiPriority w:val="0"/>
    <w:rPr>
      <w:rFonts w:hAnsi="Courier New" w:cs="Courier New"/>
    </w:rPr>
  </w:style>
  <w:style w:type="paragraph" w:styleId="11">
    <w:name w:val="Balloon Text"/>
    <w:basedOn w:val="1"/>
    <w:link w:val="18"/>
    <w:qFormat/>
    <w:uiPriority w:val="0"/>
    <w:rPr>
      <w:sz w:val="18"/>
      <w:szCs w:val="18"/>
    </w:rPr>
  </w:style>
  <w:style w:type="paragraph" w:styleId="12">
    <w:name w:val="footer"/>
    <w:basedOn w:val="1"/>
    <w:link w:val="19"/>
    <w:qFormat/>
    <w:uiPriority w:val="99"/>
    <w:pPr>
      <w:tabs>
        <w:tab w:val="center" w:pos="4153"/>
        <w:tab w:val="right" w:pos="8306"/>
      </w:tabs>
      <w:snapToGrid w:val="0"/>
      <w:jc w:val="left"/>
    </w:pPr>
    <w:rPr>
      <w:sz w:val="18"/>
      <w:szCs w:val="18"/>
    </w:rPr>
  </w:style>
  <w:style w:type="paragraph" w:styleId="13">
    <w:name w:val="header"/>
    <w:basedOn w:val="1"/>
    <w:link w:val="20"/>
    <w:qFormat/>
    <w:uiPriority w:val="0"/>
    <w:pPr>
      <w:pBdr>
        <w:bottom w:val="single" w:color="auto" w:sz="6" w:space="1"/>
      </w:pBdr>
      <w:tabs>
        <w:tab w:val="center" w:pos="4153"/>
        <w:tab w:val="right" w:pos="8306"/>
      </w:tabs>
      <w:snapToGrid w:val="0"/>
      <w:jc w:val="center"/>
    </w:pPr>
    <w:rPr>
      <w:sz w:val="18"/>
      <w:szCs w:val="18"/>
    </w:rPr>
  </w:style>
  <w:style w:type="paragraph" w:styleId="14">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8">
    <w:name w:val="批注框文本 Char"/>
    <w:basedOn w:val="15"/>
    <w:link w:val="11"/>
    <w:qFormat/>
    <w:uiPriority w:val="0"/>
    <w:rPr>
      <w:rFonts w:eastAsia="宋体"/>
      <w:kern w:val="2"/>
      <w:sz w:val="18"/>
      <w:szCs w:val="18"/>
    </w:rPr>
  </w:style>
  <w:style w:type="character" w:customStyle="1" w:styleId="19">
    <w:name w:val="页脚 Char"/>
    <w:basedOn w:val="15"/>
    <w:link w:val="12"/>
    <w:qFormat/>
    <w:uiPriority w:val="99"/>
    <w:rPr>
      <w:rFonts w:eastAsia="宋体"/>
      <w:kern w:val="2"/>
      <w:sz w:val="18"/>
      <w:szCs w:val="18"/>
    </w:rPr>
  </w:style>
  <w:style w:type="character" w:customStyle="1" w:styleId="20">
    <w:name w:val="页眉 Char"/>
    <w:basedOn w:val="15"/>
    <w:link w:val="13"/>
    <w:qFormat/>
    <w:uiPriority w:val="0"/>
    <w:rPr>
      <w:rFonts w:eastAsia="宋体"/>
      <w:kern w:val="2"/>
      <w:sz w:val="18"/>
      <w:szCs w:val="18"/>
    </w:rPr>
  </w:style>
  <w:style w:type="character" w:customStyle="1" w:styleId="21">
    <w:name w:val="font21"/>
    <w:basedOn w:val="15"/>
    <w:qFormat/>
    <w:uiPriority w:val="0"/>
    <w:rPr>
      <w:rFonts w:hint="eastAsia" w:ascii="宋体" w:hAnsi="宋体" w:eastAsia="宋体" w:cs="宋体"/>
      <w:color w:val="FF0000"/>
      <w:sz w:val="24"/>
      <w:szCs w:val="24"/>
      <w:u w:val="none"/>
    </w:rPr>
  </w:style>
  <w:style w:type="character" w:customStyle="1" w:styleId="22">
    <w:name w:val="font11"/>
    <w:basedOn w:val="15"/>
    <w:qFormat/>
    <w:uiPriority w:val="0"/>
    <w:rPr>
      <w:rFonts w:hint="default" w:ascii="Tahoma" w:hAnsi="Tahoma" w:eastAsia="Tahoma" w:cs="Tahoma"/>
      <w:color w:val="000000"/>
      <w:sz w:val="24"/>
      <w:szCs w:val="24"/>
      <w:u w:val="none"/>
    </w:rPr>
  </w:style>
  <w:style w:type="character" w:customStyle="1" w:styleId="23">
    <w:name w:val="font121"/>
    <w:basedOn w:val="15"/>
    <w:qFormat/>
    <w:uiPriority w:val="0"/>
    <w:rPr>
      <w:rFonts w:hint="eastAsia" w:ascii="宋体" w:hAnsi="宋体" w:eastAsia="宋体" w:cs="宋体"/>
      <w:color w:val="000000"/>
      <w:sz w:val="24"/>
      <w:szCs w:val="24"/>
      <w:u w:val="none"/>
    </w:rPr>
  </w:style>
  <w:style w:type="character" w:customStyle="1" w:styleId="24">
    <w:name w:val="font112"/>
    <w:basedOn w:val="15"/>
    <w:qFormat/>
    <w:uiPriority w:val="0"/>
    <w:rPr>
      <w:rFonts w:hint="eastAsia" w:ascii="宋体" w:hAnsi="宋体" w:eastAsia="宋体" w:cs="宋体"/>
      <w:color w:val="000000"/>
      <w:sz w:val="32"/>
      <w:szCs w:val="32"/>
      <w:u w:val="none"/>
    </w:rPr>
  </w:style>
  <w:style w:type="character" w:customStyle="1" w:styleId="25">
    <w:name w:val="font41"/>
    <w:basedOn w:val="15"/>
    <w:qFormat/>
    <w:uiPriority w:val="0"/>
    <w:rPr>
      <w:rFonts w:ascii="Tahoma" w:hAnsi="Tahoma" w:eastAsia="Tahoma" w:cs="Tahoma"/>
      <w:color w:val="000000"/>
      <w:sz w:val="32"/>
      <w:szCs w:val="32"/>
      <w:u w:val="none"/>
    </w:rPr>
  </w:style>
  <w:style w:type="character" w:customStyle="1" w:styleId="26">
    <w:name w:val="font111"/>
    <w:basedOn w:val="15"/>
    <w:qFormat/>
    <w:uiPriority w:val="0"/>
    <w:rPr>
      <w:rFonts w:hint="eastAsia" w:ascii="宋体" w:hAnsi="宋体" w:eastAsia="宋体" w:cs="宋体"/>
      <w:color w:val="000000"/>
      <w:sz w:val="32"/>
      <w:szCs w:val="32"/>
      <w:u w:val="none"/>
    </w:rPr>
  </w:style>
  <w:style w:type="character" w:customStyle="1" w:styleId="27">
    <w:name w:val="font81"/>
    <w:basedOn w:val="15"/>
    <w:qFormat/>
    <w:uiPriority w:val="0"/>
    <w:rPr>
      <w:rFonts w:hint="eastAsia" w:ascii="宋体" w:hAnsi="宋体" w:eastAsia="宋体" w:cs="宋体"/>
      <w:color w:val="000000"/>
      <w:sz w:val="24"/>
      <w:szCs w:val="24"/>
      <w:u w:val="none"/>
    </w:rPr>
  </w:style>
  <w:style w:type="character" w:customStyle="1" w:styleId="28">
    <w:name w:val="font71"/>
    <w:basedOn w:val="15"/>
    <w:qFormat/>
    <w:uiPriority w:val="0"/>
    <w:rPr>
      <w:rFonts w:hint="default" w:ascii="楷体_GB2312" w:eastAsia="楷体_GB2312" w:cs="楷体_GB2312"/>
      <w:color w:val="FF0000"/>
      <w:sz w:val="24"/>
      <w:szCs w:val="24"/>
      <w:u w:val="none"/>
    </w:rPr>
  </w:style>
  <w:style w:type="character" w:customStyle="1" w:styleId="29">
    <w:name w:val="font51"/>
    <w:basedOn w:val="15"/>
    <w:qFormat/>
    <w:uiPriority w:val="0"/>
    <w:rPr>
      <w:rFonts w:hint="default" w:ascii="Tahoma" w:hAnsi="Tahoma" w:eastAsia="Tahoma" w:cs="Tahoma"/>
      <w:color w:val="000000"/>
      <w:sz w:val="24"/>
      <w:szCs w:val="24"/>
      <w:u w:val="none"/>
    </w:rPr>
  </w:style>
  <w:style w:type="character" w:customStyle="1" w:styleId="30">
    <w:name w:val="font14"/>
    <w:basedOn w:val="15"/>
    <w:qFormat/>
    <w:uiPriority w:val="0"/>
    <w:rPr>
      <w:rFonts w:hint="default" w:ascii="Tahoma" w:hAnsi="Tahoma" w:eastAsia="Tahoma" w:cs="Tahoma"/>
      <w:color w:val="000000"/>
      <w:sz w:val="24"/>
      <w:szCs w:val="24"/>
      <w:u w:val="none"/>
    </w:rPr>
  </w:style>
  <w:style w:type="character" w:customStyle="1" w:styleId="31">
    <w:name w:val="font61"/>
    <w:basedOn w:val="15"/>
    <w:qFormat/>
    <w:uiPriority w:val="0"/>
    <w:rPr>
      <w:rFonts w:hint="eastAsia" w:ascii="宋体" w:hAnsi="宋体" w:eastAsia="宋体" w:cs="宋体"/>
      <w:color w:val="FF0000"/>
      <w:sz w:val="24"/>
      <w:szCs w:val="24"/>
      <w:u w:val="none"/>
    </w:rPr>
  </w:style>
  <w:style w:type="paragraph" w:styleId="32">
    <w:name w:val="List Paragraph"/>
    <w:basedOn w:val="1"/>
    <w:qFormat/>
    <w:uiPriority w:val="99"/>
    <w:pPr>
      <w:ind w:firstLine="420" w:firstLineChars="200"/>
    </w:pPr>
  </w:style>
  <w:style w:type="paragraph" w:customStyle="1" w:styleId="33">
    <w:name w:val="其他"/>
    <w:basedOn w:val="1"/>
    <w:link w:val="34"/>
    <w:qFormat/>
    <w:uiPriority w:val="99"/>
    <w:pPr>
      <w:shd w:val="clear" w:color="auto" w:fill="FFFFFF"/>
      <w:jc w:val="left"/>
    </w:pPr>
    <w:rPr>
      <w:rFonts w:ascii="MingLiU" w:eastAsia="MingLiU"/>
      <w:kern w:val="0"/>
      <w:sz w:val="20"/>
      <w:szCs w:val="20"/>
      <w:lang w:val="zh-CN"/>
    </w:rPr>
  </w:style>
  <w:style w:type="character" w:customStyle="1" w:styleId="34">
    <w:name w:val="其他_"/>
    <w:link w:val="33"/>
    <w:qFormat/>
    <w:locked/>
    <w:uiPriority w:val="99"/>
    <w:rPr>
      <w:rFonts w:ascii="MingLiU" w:eastAsia="MingLiU"/>
      <w:kern w:val="0"/>
      <w:sz w:val="20"/>
      <w:szCs w:val="20"/>
      <w:lang w:val="zh-CN"/>
    </w:rPr>
  </w:style>
  <w:style w:type="character" w:customStyle="1" w:styleId="35">
    <w:name w:val="标题 #4_"/>
    <w:link w:val="36"/>
    <w:qFormat/>
    <w:locked/>
    <w:uiPriority w:val="99"/>
    <w:rPr>
      <w:rFonts w:ascii="MingLiU" w:eastAsia="MingLiU"/>
      <w:b/>
      <w:bCs/>
      <w:kern w:val="0"/>
      <w:sz w:val="36"/>
      <w:szCs w:val="36"/>
      <w:lang w:val="zh-CN"/>
    </w:rPr>
  </w:style>
  <w:style w:type="paragraph" w:customStyle="1" w:styleId="36">
    <w:name w:val="标题 #4"/>
    <w:basedOn w:val="1"/>
    <w:link w:val="35"/>
    <w:qFormat/>
    <w:uiPriority w:val="99"/>
    <w:pPr>
      <w:shd w:val="clear" w:color="auto" w:fill="FFFFFF"/>
      <w:spacing w:after="210"/>
      <w:jc w:val="left"/>
      <w:outlineLvl w:val="3"/>
    </w:pPr>
    <w:rPr>
      <w:rFonts w:ascii="MingLiU" w:eastAsia="MingLiU"/>
      <w:b/>
      <w:bCs/>
      <w:kern w:val="0"/>
      <w:sz w:val="36"/>
      <w:szCs w:val="36"/>
      <w:lang w:val="zh-CN"/>
    </w:rPr>
  </w:style>
  <w:style w:type="character" w:customStyle="1" w:styleId="37">
    <w:name w:val="font91"/>
    <w:basedOn w:val="15"/>
    <w:qFormat/>
    <w:uiPriority w:val="0"/>
    <w:rPr>
      <w:rFonts w:ascii="Tahoma" w:hAnsi="Tahoma" w:eastAsia="Tahoma" w:cs="Tahoma"/>
      <w:color w:val="000000"/>
      <w:sz w:val="24"/>
      <w:szCs w:val="24"/>
      <w:u w:val="none"/>
    </w:rPr>
  </w:style>
  <w:style w:type="character" w:customStyle="1" w:styleId="38">
    <w:name w:val="font31"/>
    <w:basedOn w:val="15"/>
    <w:qFormat/>
    <w:uiPriority w:val="0"/>
    <w:rPr>
      <w:rFonts w:hint="eastAsia" w:ascii="宋体" w:hAnsi="宋体" w:eastAsia="宋体" w:cs="宋体"/>
      <w:color w:val="FF0000"/>
      <w:sz w:val="24"/>
      <w:szCs w:val="24"/>
      <w:u w:val="none"/>
    </w:rPr>
  </w:style>
  <w:style w:type="character" w:customStyle="1" w:styleId="39">
    <w:name w:val="font101"/>
    <w:basedOn w:val="15"/>
    <w:qFormat/>
    <w:uiPriority w:val="0"/>
    <w:rPr>
      <w:rFonts w:hint="eastAsia" w:ascii="宋体" w:hAnsi="宋体" w:eastAsia="宋体" w:cs="宋体"/>
      <w:color w:val="FF0000"/>
      <w:sz w:val="24"/>
      <w:szCs w:val="24"/>
      <w:u w:val="none"/>
    </w:rPr>
  </w:style>
  <w:style w:type="paragraph" w:customStyle="1" w:styleId="40">
    <w:name w:val="表格标题"/>
    <w:basedOn w:val="1"/>
    <w:link w:val="41"/>
    <w:qFormat/>
    <w:uiPriority w:val="99"/>
    <w:pPr>
      <w:shd w:val="clear" w:color="auto" w:fill="FFFFFF"/>
      <w:spacing w:line="245" w:lineRule="auto"/>
      <w:jc w:val="left"/>
    </w:pPr>
    <w:rPr>
      <w:rFonts w:ascii="MingLiU" w:eastAsia="MingLiU"/>
      <w:kern w:val="0"/>
      <w:sz w:val="13"/>
      <w:szCs w:val="13"/>
      <w:lang w:val="zh-CN"/>
    </w:rPr>
  </w:style>
  <w:style w:type="character" w:customStyle="1" w:styleId="41">
    <w:name w:val="表格标题_"/>
    <w:link w:val="40"/>
    <w:qFormat/>
    <w:locked/>
    <w:uiPriority w:val="99"/>
    <w:rPr>
      <w:rFonts w:ascii="MingLiU" w:eastAsia="MingLiU"/>
      <w:kern w:val="0"/>
      <w:sz w:val="13"/>
      <w:szCs w:val="13"/>
      <w:lang w:val="zh-CN"/>
    </w:rPr>
  </w:style>
  <w:style w:type="paragraph" w:customStyle="1" w:styleId="42">
    <w:name w:val="2级标题"/>
    <w:basedOn w:val="1"/>
    <w:next w:val="1"/>
    <w:qFormat/>
    <w:uiPriority w:val="0"/>
    <w:pPr>
      <w:adjustRightInd w:val="0"/>
      <w:snapToGrid w:val="0"/>
      <w:spacing w:beforeLines="100" w:line="360" w:lineRule="auto"/>
      <w:jc w:val="left"/>
      <w:outlineLvl w:val="1"/>
    </w:pPr>
    <w:rPr>
      <w:rFonts w:eastAsia="黑体"/>
      <w:b/>
      <w:sz w:val="30"/>
      <w:szCs w:val="3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18</Pages>
  <Words>4282</Words>
  <Characters>4648</Characters>
  <Lines>61</Lines>
  <Paragraphs>17</Paragraphs>
  <TotalTime>42</TotalTime>
  <ScaleCrop>false</ScaleCrop>
  <LinksUpToDate>false</LinksUpToDate>
  <CharactersWithSpaces>4761</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2025-03-12T09:23:00Z</dcterms:created>
  <dc:creator>jamin</dc:creator>
  <cp:lastModifiedBy>Administrator</cp:lastModifiedBy>
  <cp:lastPrinted>2018-08-20T02:56:00Z</cp:lastPrinted>
  <dcterms:modified xsi:type="dcterms:W3CDTF">2025-03-14T07:18:49Z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11FC968C7D014BC083DDCFB0DE365503_13</vt:lpwstr>
  </property>
  <property fmtid="{D5CDD505-2E9C-101B-9397-08002B2CF9AE}" pid="4" name="KSOTemplateDocerSaveRecord">
    <vt:lpwstr>eyJoZGlkIjoiYmIyZGRkMGE5YWJjMzVmOGZkNjlhYTlmYTQyZTFmYjIifQ==</vt:lpwstr>
  </property>
</Properties>
</file>