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602" w:firstLineChars="2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7000吨年高速高频板5G用（HVLP）铜箔项目起重机采购 </w:t>
      </w:r>
      <w:r>
        <w:rPr>
          <w:rFonts w:hint="eastAsia" w:ascii="仿宋" w:hAnsi="仿宋" w:eastAsia="仿宋" w:cs="仿宋"/>
          <w:b/>
          <w:bCs/>
          <w:spacing w:val="10"/>
          <w:sz w:val="28"/>
          <w:szCs w:val="28"/>
        </w:rPr>
        <w:t xml:space="preserve">  </w:t>
      </w:r>
    </w:p>
    <w:p>
      <w:pPr>
        <w:spacing w:line="360" w:lineRule="auto"/>
        <w:ind w:firstLine="602" w:firstLineChars="2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2023年10月16日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7000吨年高速高频板5G用（HVLP）铜箔项目起重机</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9"/>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二、项目名称：起重机采购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w:t>
      </w:r>
      <w:r>
        <w:rPr>
          <w:rFonts w:hint="eastAsia" w:ascii="仿宋_GB2312" w:eastAsia="仿宋_GB2312"/>
          <w:b/>
          <w:color w:val="C00000"/>
          <w:sz w:val="28"/>
          <w:szCs w:val="28"/>
          <w:lang w:eastAsia="zh-CN"/>
        </w:rPr>
        <w:t>截止</w:t>
      </w:r>
      <w:r>
        <w:rPr>
          <w:rFonts w:hint="eastAsia" w:ascii="仿宋_GB2312" w:eastAsia="仿宋_GB2312"/>
          <w:b/>
          <w:color w:val="C00000"/>
          <w:sz w:val="28"/>
          <w:szCs w:val="28"/>
        </w:rPr>
        <w:t>时间：2023.10</w:t>
      </w:r>
      <w:r>
        <w:rPr>
          <w:rFonts w:hint="eastAsia" w:ascii="仿宋_GB2312" w:eastAsia="仿宋_GB2312"/>
          <w:b/>
          <w:color w:val="C00000"/>
          <w:sz w:val="28"/>
          <w:szCs w:val="28"/>
          <w:lang w:val="en-US" w:eastAsia="zh-CN"/>
        </w:rPr>
        <w:t>.20</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w:t>
      </w:r>
      <w:r>
        <w:rPr>
          <w:rFonts w:hint="eastAsia" w:ascii="仿宋_GB2312" w:eastAsia="仿宋_GB2312"/>
          <w:b/>
          <w:color w:val="C00000"/>
          <w:sz w:val="28"/>
          <w:szCs w:val="28"/>
          <w:lang w:eastAsia="zh-CN"/>
        </w:rPr>
        <w:t>截止</w:t>
      </w:r>
      <w:r>
        <w:rPr>
          <w:rFonts w:hint="eastAsia" w:ascii="仿宋_GB2312" w:eastAsia="仿宋_GB2312"/>
          <w:b/>
          <w:color w:val="C00000"/>
          <w:sz w:val="28"/>
          <w:szCs w:val="28"/>
        </w:rPr>
        <w:t>时间：2023.10</w:t>
      </w:r>
      <w:r>
        <w:rPr>
          <w:rFonts w:hint="eastAsia" w:ascii="仿宋_GB2312" w:eastAsia="仿宋_GB2312"/>
          <w:b/>
          <w:color w:val="C00000"/>
          <w:sz w:val="28"/>
          <w:szCs w:val="28"/>
          <w:lang w:val="en-US" w:eastAsia="zh-CN"/>
        </w:rPr>
        <w:t>.23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13780923594 </w:t>
      </w:r>
    </w:p>
    <w:p>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pPr>
        <w:numPr>
          <w:ilvl w:val="0"/>
          <w:numId w:val="2"/>
        </w:numPr>
        <w:spacing w:line="360" w:lineRule="auto"/>
        <w:ind w:right="70" w:firstLine="562" w:firstLineChars="200"/>
        <w:rPr>
          <w:rFonts w:ascii="仿宋_GB2312" w:hAnsi="宋体" w:eastAsia="仿宋_GB2312"/>
          <w:b/>
          <w:bCs/>
          <w:color w:val="auto"/>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color w:val="auto"/>
          <w:sz w:val="28"/>
          <w:szCs w:val="28"/>
        </w:rPr>
        <w:t xml:space="preserve"> </w:t>
      </w:r>
      <w:r>
        <w:rPr>
          <w:rFonts w:hint="eastAsia" w:ascii="仿宋_GB2312" w:hAnsi="宋体" w:eastAsia="仿宋_GB2312"/>
          <w:b/>
          <w:bCs/>
          <w:color w:val="auto"/>
          <w:sz w:val="28"/>
          <w:szCs w:val="28"/>
          <w:lang w:eastAsia="zh-CN"/>
        </w:rPr>
        <w:t>董</w:t>
      </w:r>
      <w:r>
        <w:rPr>
          <w:rFonts w:hint="eastAsia" w:ascii="仿宋_GB2312" w:hAnsi="宋体" w:eastAsia="仿宋_GB2312"/>
          <w:b/>
          <w:bCs/>
          <w:color w:val="auto"/>
          <w:sz w:val="28"/>
          <w:szCs w:val="28"/>
          <w:lang w:val="en-US" w:eastAsia="zh-CN"/>
        </w:rPr>
        <w:t xml:space="preserve"> 京 </w:t>
      </w:r>
    </w:p>
    <w:p>
      <w:pPr>
        <w:numPr>
          <w:ilvl w:val="0"/>
          <w:numId w:val="0"/>
        </w:numPr>
        <w:spacing w:line="360" w:lineRule="auto"/>
        <w:ind w:right="70" w:rightChars="0"/>
        <w:rPr>
          <w:rFonts w:hint="default" w:ascii="仿宋_GB2312" w:hAnsi="宋体" w:eastAsia="仿宋_GB2312"/>
          <w:color w:val="auto"/>
          <w:sz w:val="28"/>
          <w:szCs w:val="28"/>
          <w:lang w:val="en-US" w:eastAsia="zh-CN"/>
        </w:rPr>
      </w:pPr>
      <w:r>
        <w:rPr>
          <w:rFonts w:hint="eastAsia" w:ascii="仿宋_GB2312" w:hAnsi="宋体" w:eastAsia="仿宋_GB2312"/>
          <w:b/>
          <w:bCs/>
          <w:color w:val="auto"/>
          <w:sz w:val="28"/>
          <w:szCs w:val="28"/>
          <w:lang w:val="en-US" w:eastAsia="zh-CN"/>
        </w:rPr>
        <w:t xml:space="preserve">        联系方式：15966545089  投标邮箱：jinbaocgzb@chinajinbao.com</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国大路</w:t>
      </w:r>
      <w:r>
        <w:rPr>
          <w:rFonts w:hint="eastAsia" w:ascii="仿宋_GB2312" w:hAnsi="宋体" w:eastAsia="仿宋_GB2312"/>
          <w:b/>
          <w:bCs/>
          <w:sz w:val="28"/>
          <w:szCs w:val="28"/>
          <w:lang w:val="en-US" w:eastAsia="zh-CN"/>
        </w:rPr>
        <w:t>268号 106室</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eastAsia="zh-CN"/>
        </w:rPr>
        <w:t>：</w:t>
      </w:r>
      <w:r>
        <w:rPr>
          <w:rFonts w:hint="eastAsia" w:ascii="仿宋_GB2312" w:hAnsi="宋体" w:eastAsia="仿宋_GB2312"/>
          <w:b/>
          <w:bCs/>
          <w:color w:val="C00000"/>
          <w:sz w:val="28"/>
          <w:szCs w:val="28"/>
          <w:lang w:val="en-US" w:eastAsia="zh-CN"/>
        </w:rPr>
        <w:t>5000</w:t>
      </w:r>
      <w:r>
        <w:rPr>
          <w:rFonts w:hint="eastAsia" w:ascii="仿宋_GB2312" w:hAnsi="宋体" w:eastAsia="仿宋_GB2312"/>
          <w:b/>
          <w:bCs/>
          <w:color w:val="C00000"/>
          <w:sz w:val="28"/>
          <w:szCs w:val="28"/>
        </w:rPr>
        <w:t>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color w:val="auto"/>
          <w:sz w:val="28"/>
          <w:szCs w:val="28"/>
        </w:rPr>
        <w:t>（联系人：</w:t>
      </w:r>
      <w:r>
        <w:rPr>
          <w:rFonts w:hint="eastAsia" w:ascii="仿宋_GB2312" w:hAnsi="宋体" w:eastAsia="仿宋_GB2312"/>
          <w:b/>
          <w:bCs/>
          <w:color w:val="auto"/>
          <w:sz w:val="28"/>
          <w:szCs w:val="28"/>
          <w:lang w:eastAsia="zh-CN"/>
        </w:rPr>
        <w:t>尹瑞权</w:t>
      </w:r>
      <w:r>
        <w:rPr>
          <w:rFonts w:hint="eastAsia" w:ascii="仿宋_GB2312" w:hAnsi="宋体" w:eastAsia="仿宋_GB2312"/>
          <w:b/>
          <w:bCs/>
          <w:color w:val="auto"/>
          <w:sz w:val="28"/>
          <w:szCs w:val="28"/>
        </w:rPr>
        <w:t>）</w:t>
      </w:r>
      <w:r>
        <w:rPr>
          <w:rFonts w:hint="eastAsia" w:ascii="仿宋_GB2312" w:hAnsi="宋体" w:eastAsia="仿宋_GB2312"/>
          <w:b/>
          <w:bCs/>
          <w:color w:val="auto"/>
          <w:sz w:val="28"/>
          <w:szCs w:val="28"/>
          <w:highlight w:val="yellow"/>
        </w:rPr>
        <w:t>；商务投标可以将标书邮寄或直接送达商务投标地点（联系人：</w:t>
      </w:r>
      <w:r>
        <w:rPr>
          <w:rFonts w:hint="eastAsia" w:ascii="仿宋_GB2312" w:hAnsi="宋体" w:eastAsia="仿宋_GB2312"/>
          <w:b/>
          <w:bCs/>
          <w:color w:val="auto"/>
          <w:sz w:val="28"/>
          <w:szCs w:val="28"/>
          <w:highlight w:val="yellow"/>
          <w:lang w:eastAsia="zh-CN"/>
        </w:rPr>
        <w:t>董京</w:t>
      </w:r>
      <w:r>
        <w:rPr>
          <w:rFonts w:hint="eastAsia" w:ascii="仿宋_GB2312" w:hAnsi="宋体" w:eastAsia="仿宋_GB2312"/>
          <w:b/>
          <w:bCs/>
          <w:color w:val="auto"/>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b/>
          <w:bCs/>
          <w:color w:val="000000" w:themeColor="text1"/>
          <w:sz w:val="28"/>
          <w:szCs w:val="28"/>
          <w:highlight w:val="yellow"/>
          <w:shd w:val="clear" w:color="auto" w:fill="auto"/>
          <w14:textFill>
            <w14:solidFill>
              <w14:schemeClr w14:val="tx1"/>
            </w14:solidFill>
          </w14:textFill>
        </w:rPr>
        <w:t>投标要求</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4、在参与本次招标过程中出现以下情况或行为，将取消其投标资格且不予返还投标保证金：</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①采取弄虚作假的方式，提供虚假的信息或资料；</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②存在不正当竞争，如：串标、陪标现象；</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仿宋_GB2312" w:eastAsia="仿宋_GB2312" w:cs="仿宋_GB2312"/>
          <w:color w:val="000000" w:themeColor="text1"/>
          <w:sz w:val="28"/>
          <w:szCs w:val="28"/>
          <w:highlight w:val="yellow"/>
          <w:shd w:val="clear" w:color="auto" w:fill="auto"/>
          <w14:textFill>
            <w14:solidFill>
              <w14:schemeClr w14:val="tx1"/>
            </w14:solidFill>
          </w14:textFill>
        </w:rPr>
        <w:t>③</w:t>
      </w: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b/>
          <w:bCs/>
          <w:color w:val="000000" w:themeColor="text1"/>
          <w:sz w:val="28"/>
          <w:szCs w:val="28"/>
          <w:highlight w:val="yellow"/>
          <w:shd w:val="clear" w:color="auto" w:fill="auto"/>
          <w14:textFill>
            <w14:solidFill>
              <w14:schemeClr w14:val="tx1"/>
            </w14:solidFill>
          </w14:textFill>
        </w:rPr>
        <w:t>投标无效</w:t>
      </w:r>
    </w:p>
    <w:p>
      <w:p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有以下情形的投标文件，视为无效：</w:t>
      </w:r>
    </w:p>
    <w:p>
      <w:pPr>
        <w:numPr>
          <w:ilvl w:val="0"/>
          <w:numId w:val="4"/>
        </w:num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逾期未送达投标文件的；</w:t>
      </w:r>
    </w:p>
    <w:p>
      <w:pPr>
        <w:numPr>
          <w:ilvl w:val="0"/>
          <w:numId w:val="4"/>
        </w:num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未按规定递交密封投标文件的；</w:t>
      </w:r>
    </w:p>
    <w:p>
      <w:pPr>
        <w:numPr>
          <w:ilvl w:val="0"/>
          <w:numId w:val="4"/>
        </w:num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投标文件的编制、内容与招标文件存在明显差异或不符的；</w:t>
      </w:r>
    </w:p>
    <w:p>
      <w:pPr>
        <w:numPr>
          <w:ilvl w:val="0"/>
          <w:numId w:val="4"/>
        </w:numPr>
        <w:spacing w:line="360" w:lineRule="auto"/>
        <w:ind w:right="70" w:firstLine="642"/>
        <w:rPr>
          <w:rFonts w:ascii="仿宋_GB2312" w:hAnsi="宋体" w:eastAsia="仿宋_GB2312"/>
          <w:color w:val="000000" w:themeColor="text1"/>
          <w:sz w:val="28"/>
          <w:szCs w:val="28"/>
          <w:highlight w:val="yellow"/>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未加盖公章或无授权委托书的；</w:t>
      </w:r>
    </w:p>
    <w:p>
      <w:pPr>
        <w:spacing w:line="360" w:lineRule="auto"/>
        <w:ind w:right="70"/>
        <w:rPr>
          <w:rFonts w:ascii="仿宋_GB2312" w:hAnsi="宋体" w:eastAsia="仿宋_GB2312"/>
          <w:b/>
          <w:bCs/>
          <w:color w:val="000000" w:themeColor="text1"/>
          <w:sz w:val="28"/>
          <w:szCs w:val="28"/>
          <w:shd w:val="clear" w:color="auto" w:fill="auto"/>
          <w14:textFill>
            <w14:solidFill>
              <w14:schemeClr w14:val="tx1"/>
            </w14:solidFill>
          </w14:textFill>
        </w:rPr>
      </w:pPr>
      <w:r>
        <w:rPr>
          <w:rFonts w:hint="eastAsia" w:ascii="仿宋_GB2312" w:hAnsi="宋体" w:eastAsia="仿宋_GB2312"/>
          <w:b/>
          <w:bCs/>
          <w:color w:val="000000" w:themeColor="text1"/>
          <w:sz w:val="28"/>
          <w:szCs w:val="28"/>
          <w:shd w:val="clear" w:color="auto" w:fill="auto"/>
          <w14:textFill>
            <w14:solidFill>
              <w14:schemeClr w14:val="tx1"/>
            </w14:solidFill>
          </w14:textFill>
        </w:rPr>
        <w:t>三、投标文件的构成</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1、资质文件；</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①营业执照</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②授权委托书</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③企业资质及行业认证文件资料</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④产品专利</w:t>
      </w:r>
    </w:p>
    <w:p>
      <w:pPr>
        <w:numPr>
          <w:ilvl w:val="0"/>
          <w:numId w:val="5"/>
        </w:num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项目</w:t>
      </w:r>
      <w:r>
        <w:rPr>
          <w:rFonts w:hint="eastAsia" w:ascii="仿宋_GB2312" w:hAnsi="宋体" w:eastAsia="仿宋_GB2312"/>
          <w:b/>
          <w:color w:val="000000" w:themeColor="text1"/>
          <w:sz w:val="28"/>
          <w:szCs w:val="28"/>
          <w:highlight w:val="yellow"/>
          <w:shd w:val="clear" w:color="auto" w:fill="auto"/>
          <w14:textFill>
            <w14:solidFill>
              <w14:schemeClr w14:val="tx1"/>
            </w14:solidFill>
          </w14:textFill>
        </w:rPr>
        <w:t>实施案例</w:t>
      </w:r>
      <w:r>
        <w:rPr>
          <w:rFonts w:hint="eastAsia" w:ascii="仿宋_GB2312" w:hAnsi="宋体" w:eastAsia="仿宋_GB2312"/>
          <w:color w:val="000000" w:themeColor="text1"/>
          <w:sz w:val="28"/>
          <w:szCs w:val="28"/>
          <w:shd w:val="clear" w:color="auto" w:fill="auto"/>
          <w14:textFill>
            <w14:solidFill>
              <w14:schemeClr w14:val="tx1"/>
            </w14:solidFill>
          </w14:textFill>
        </w:rPr>
        <w:t>及相关资料；</w:t>
      </w:r>
    </w:p>
    <w:p>
      <w:pPr>
        <w:numPr>
          <w:ilvl w:val="0"/>
          <w:numId w:val="5"/>
        </w:num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项目方案</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①设备设施配置、清单及详细资料</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②《项目解决方案及服务内容》</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③项目设计及实施方案</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④项目实施进度计划及人员安排</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⑤售后服务方案</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⑥应急预案</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4、报价</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shd w:val="clear" w:color="auto" w:fill="auto"/>
          <w14:textFill>
            <w14:solidFill>
              <w14:schemeClr w14:val="tx1"/>
            </w14:solidFill>
          </w14:textFill>
        </w:rPr>
        <w:t>提交《项目设备配置报价》，包括但不限于品牌、规格、数量或工程量、单价、材质、增值税税费等。</w:t>
      </w:r>
    </w:p>
    <w:p>
      <w:pPr>
        <w:spacing w:line="360" w:lineRule="auto"/>
        <w:ind w:left="642"/>
        <w:rPr>
          <w:rFonts w:ascii="仿宋_GB2312" w:eastAsia="仿宋_GB2312"/>
          <w:color w:val="000000" w:themeColor="text1"/>
          <w:sz w:val="28"/>
          <w:szCs w:val="28"/>
          <w:shd w:val="clear" w:color="auto" w:fill="auto"/>
          <w14:textFill>
            <w14:solidFill>
              <w14:schemeClr w14:val="tx1"/>
            </w14:solidFill>
          </w14:textFill>
        </w:rPr>
      </w:pPr>
      <w:r>
        <w:rPr>
          <w:rFonts w:hint="eastAsia" w:ascii="仿宋_GB2312" w:eastAsia="仿宋_GB2312"/>
          <w:color w:val="000000" w:themeColor="text1"/>
          <w:sz w:val="28"/>
          <w:szCs w:val="28"/>
          <w:shd w:val="clear" w:color="auto" w:fill="auto"/>
          <w14:textFill>
            <w14:solidFill>
              <w14:schemeClr w14:val="tx1"/>
            </w14:solidFill>
          </w14:textFill>
        </w:rPr>
        <w:t>5、标书要求</w:t>
      </w:r>
    </w:p>
    <w:p>
      <w:pPr>
        <w:spacing w:line="360" w:lineRule="auto"/>
        <w:ind w:left="642"/>
        <w:rPr>
          <w:rFonts w:ascii="仿宋_GB2312" w:eastAsia="仿宋_GB2312"/>
          <w:color w:val="000000" w:themeColor="text1"/>
          <w:sz w:val="28"/>
          <w:szCs w:val="28"/>
          <w:shd w:val="clear" w:color="auto" w:fill="auto"/>
          <w14:textFill>
            <w14:solidFill>
              <w14:schemeClr w14:val="tx1"/>
            </w14:solidFill>
          </w14:textFill>
        </w:rPr>
      </w:pPr>
      <w:r>
        <w:rPr>
          <w:rFonts w:hint="eastAsia" w:ascii="仿宋_GB2312" w:eastAsia="仿宋_GB2312"/>
          <w:color w:val="000000" w:themeColor="text1"/>
          <w:sz w:val="28"/>
          <w:szCs w:val="28"/>
          <w:shd w:val="clear" w:color="auto" w:fill="auto"/>
          <w14:textFill>
            <w14:solidFill>
              <w14:schemeClr w14:val="tx1"/>
            </w14:solidFill>
          </w14:textFill>
        </w:rPr>
        <w:t>本招标项目要求投标者根据上述要求，将有关资料整理做成</w:t>
      </w:r>
    </w:p>
    <w:p>
      <w:pPr>
        <w:spacing w:line="360" w:lineRule="auto"/>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eastAsia="仿宋_GB2312"/>
          <w:color w:val="000000" w:themeColor="text1"/>
          <w:sz w:val="28"/>
          <w:szCs w:val="28"/>
          <w:shd w:val="clear" w:color="auto" w:fill="auto"/>
          <w14:textFill>
            <w14:solidFill>
              <w14:schemeClr w14:val="tx1"/>
            </w14:solidFill>
          </w14:textFill>
        </w:rPr>
        <w:t>标书，标</w:t>
      </w:r>
      <w:r>
        <w:rPr>
          <w:rFonts w:hint="eastAsia" w:ascii="仿宋_GB2312" w:hAnsi="华文细黑" w:eastAsia="仿宋_GB2312"/>
          <w:color w:val="000000" w:themeColor="text1"/>
          <w:sz w:val="28"/>
          <w:szCs w:val="28"/>
          <w:shd w:val="clear" w:color="auto" w:fill="auto"/>
          <w14:textFill>
            <w14:solidFill>
              <w14:schemeClr w14:val="tx1"/>
            </w14:solidFill>
          </w14:textFill>
        </w:rPr>
        <w:t>书要求一正一副</w:t>
      </w:r>
      <w:r>
        <w:rPr>
          <w:rFonts w:hint="eastAsia" w:ascii="仿宋_GB2312" w:eastAsia="仿宋_GB2312"/>
          <w:color w:val="000000" w:themeColor="text1"/>
          <w:sz w:val="28"/>
          <w:szCs w:val="28"/>
          <w:shd w:val="clear" w:color="auto" w:fill="auto"/>
          <w14:textFill>
            <w14:solidFill>
              <w14:schemeClr w14:val="tx1"/>
            </w14:solidFill>
          </w14:textFill>
        </w:rPr>
        <w:t>。</w:t>
      </w:r>
    </w:p>
    <w:p>
      <w:pPr>
        <w:spacing w:line="360" w:lineRule="auto"/>
        <w:ind w:right="70"/>
        <w:rPr>
          <w:rFonts w:ascii="仿宋_GB2312" w:hAnsi="宋体" w:eastAsia="仿宋_GB2312"/>
          <w:b/>
          <w:bCs/>
          <w:color w:val="000000" w:themeColor="text1"/>
          <w:sz w:val="28"/>
          <w:szCs w:val="28"/>
          <w:shd w:val="clear" w:color="auto" w:fill="auto"/>
          <w14:textFill>
            <w14:solidFill>
              <w14:schemeClr w14:val="tx1"/>
            </w14:solidFill>
          </w14:textFill>
        </w:rPr>
      </w:pPr>
      <w:r>
        <w:rPr>
          <w:rFonts w:hint="eastAsia" w:ascii="仿宋_GB2312" w:hAnsi="宋体" w:eastAsia="仿宋_GB2312"/>
          <w:b/>
          <w:bCs/>
          <w:color w:val="000000" w:themeColor="text1"/>
          <w:sz w:val="28"/>
          <w:szCs w:val="28"/>
          <w:shd w:val="clear" w:color="auto" w:fill="auto"/>
          <w14:textFill>
            <w14:solidFill>
              <w14:schemeClr w14:val="tx1"/>
            </w14:solidFill>
          </w14:textFill>
        </w:rPr>
        <w:t>四、保密</w:t>
      </w:r>
    </w:p>
    <w:p>
      <w:pPr>
        <w:spacing w:line="360" w:lineRule="auto"/>
        <w:ind w:right="70" w:firstLine="642"/>
        <w:rPr>
          <w:rFonts w:ascii="仿宋_GB2312" w:hAnsi="宋体" w:eastAsia="仿宋_GB2312"/>
          <w:color w:val="000000" w:themeColor="text1"/>
          <w:sz w:val="28"/>
          <w:szCs w:val="28"/>
          <w:shd w:val="clear" w:color="auto" w:fill="auto"/>
          <w14:textFill>
            <w14:solidFill>
              <w14:schemeClr w14:val="tx1"/>
            </w14:solidFill>
          </w14:textFill>
        </w:rPr>
      </w:pPr>
      <w:r>
        <w:rPr>
          <w:rFonts w:hint="eastAsia" w:ascii="仿宋_GB2312" w:hAnsi="宋体" w:eastAsia="仿宋_GB2312"/>
          <w:color w:val="000000" w:themeColor="text1"/>
          <w:sz w:val="28"/>
          <w:szCs w:val="28"/>
          <w:highlight w:val="yellow"/>
          <w:shd w:val="clear" w:color="auto" w:fill="auto"/>
          <w14:textFill>
            <w14:solidFill>
              <w14:schemeClr w14:val="tx1"/>
            </w14:solidFill>
          </w14:textFill>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9"/>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45日</w:t>
      </w:r>
      <w:r>
        <w:rPr>
          <w:rFonts w:hint="eastAsia" w:ascii="仿宋_GB2312" w:hAnsi="宋体" w:eastAsia="仿宋_GB2312"/>
          <w:sz w:val="28"/>
          <w:szCs w:val="28"/>
        </w:rPr>
        <w:t>。</w:t>
      </w:r>
    </w:p>
    <w:p>
      <w:pPr>
        <w:pStyle w:val="19"/>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2、交货地点：招远市金晖路229号</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9"/>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12"/>
        <w:tblW w:w="9923"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2126"/>
        <w:gridCol w:w="2126"/>
        <w:gridCol w:w="851"/>
        <w:gridCol w:w="850"/>
        <w:gridCol w:w="851"/>
        <w:gridCol w:w="709"/>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序号</w:t>
            </w:r>
          </w:p>
        </w:tc>
        <w:tc>
          <w:tcPr>
            <w:tcW w:w="2126"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名  称</w:t>
            </w:r>
          </w:p>
        </w:tc>
        <w:tc>
          <w:tcPr>
            <w:tcW w:w="2126"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型号</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单位</w:t>
            </w:r>
          </w:p>
        </w:tc>
        <w:tc>
          <w:tcPr>
            <w:tcW w:w="850"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数量</w:t>
            </w:r>
          </w:p>
        </w:tc>
        <w:tc>
          <w:tcPr>
            <w:tcW w:w="851" w:type="dxa"/>
          </w:tcPr>
          <w:p>
            <w:pPr>
              <w:widowControl/>
              <w:spacing w:line="400" w:lineRule="exact"/>
              <w:jc w:val="center"/>
              <w:rPr>
                <w:rFonts w:ascii="仿宋" w:hAnsi="仿宋" w:eastAsia="仿宋" w:cs="仿宋_GB2312"/>
                <w:sz w:val="28"/>
                <w:szCs w:val="28"/>
              </w:rPr>
            </w:pPr>
            <w:r>
              <w:rPr>
                <w:rFonts w:ascii="仿宋" w:hAnsi="仿宋" w:eastAsia="仿宋" w:cs="仿宋_GB2312"/>
                <w:sz w:val="28"/>
                <w:szCs w:val="28"/>
              </w:rPr>
              <w:t>单价</w:t>
            </w:r>
          </w:p>
        </w:tc>
        <w:tc>
          <w:tcPr>
            <w:tcW w:w="709" w:type="dxa"/>
          </w:tcPr>
          <w:p>
            <w:pPr>
              <w:widowControl/>
              <w:spacing w:line="400" w:lineRule="exact"/>
              <w:jc w:val="center"/>
              <w:rPr>
                <w:rFonts w:ascii="仿宋" w:hAnsi="仿宋" w:eastAsia="仿宋" w:cs="仿宋_GB2312"/>
                <w:sz w:val="28"/>
                <w:szCs w:val="28"/>
              </w:rPr>
            </w:pPr>
            <w:r>
              <w:rPr>
                <w:rFonts w:ascii="仿宋" w:hAnsi="仿宋" w:eastAsia="仿宋" w:cs="仿宋_GB2312"/>
                <w:sz w:val="28"/>
                <w:szCs w:val="28"/>
              </w:rPr>
              <w:t>总价</w:t>
            </w:r>
          </w:p>
        </w:tc>
        <w:tc>
          <w:tcPr>
            <w:tcW w:w="1559"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ascii="仿宋" w:hAnsi="仿宋" w:eastAsia="仿宋" w:cs="仿宋_GB2312"/>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851"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sz w:val="28"/>
                <w:szCs w:val="28"/>
              </w:rPr>
              <w:t>1</w:t>
            </w:r>
          </w:p>
        </w:tc>
        <w:tc>
          <w:tcPr>
            <w:tcW w:w="2126"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cs="宋体"/>
                <w:kern w:val="0"/>
                <w:sz w:val="28"/>
                <w:szCs w:val="28"/>
              </w:rPr>
              <w:t>新型欧式双梁起重机</w:t>
            </w:r>
          </w:p>
        </w:tc>
        <w:tc>
          <w:tcPr>
            <w:tcW w:w="2126" w:type="dxa"/>
            <w:tcMar>
              <w:top w:w="0" w:type="dxa"/>
              <w:left w:w="108" w:type="dxa"/>
              <w:bottom w:w="0" w:type="dxa"/>
              <w:right w:w="108" w:type="dxa"/>
            </w:tcMar>
            <w:vAlign w:val="center"/>
          </w:tcPr>
          <w:p>
            <w:pPr>
              <w:jc w:val="left"/>
              <w:rPr>
                <w:rFonts w:ascii="仿宋" w:hAnsi="仿宋" w:eastAsia="仿宋" w:cs="仿宋_GB2312"/>
                <w:sz w:val="28"/>
                <w:szCs w:val="28"/>
              </w:rPr>
            </w:pPr>
            <w:r>
              <w:rPr>
                <w:rFonts w:hint="eastAsia" w:ascii="仿宋" w:hAnsi="仿宋" w:eastAsia="仿宋" w:cs="仿宋"/>
                <w:kern w:val="0"/>
                <w:sz w:val="24"/>
                <w:highlight w:val="yellow"/>
              </w:rPr>
              <w:t>3T-13.9M-H12M</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台</w:t>
            </w:r>
          </w:p>
        </w:tc>
        <w:tc>
          <w:tcPr>
            <w:tcW w:w="850"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sz w:val="28"/>
                <w:szCs w:val="28"/>
              </w:rPr>
              <w:t>1</w:t>
            </w:r>
          </w:p>
        </w:tc>
        <w:tc>
          <w:tcPr>
            <w:tcW w:w="851" w:type="dxa"/>
          </w:tcPr>
          <w:p>
            <w:pPr>
              <w:spacing w:line="520" w:lineRule="exact"/>
              <w:rPr>
                <w:rFonts w:ascii="仿宋" w:hAnsi="仿宋" w:eastAsia="仿宋"/>
                <w:sz w:val="28"/>
                <w:szCs w:val="28"/>
              </w:rPr>
            </w:pPr>
          </w:p>
        </w:tc>
        <w:tc>
          <w:tcPr>
            <w:tcW w:w="709" w:type="dxa"/>
          </w:tcPr>
          <w:p>
            <w:pPr>
              <w:spacing w:line="520" w:lineRule="exact"/>
              <w:rPr>
                <w:rFonts w:ascii="仿宋" w:hAnsi="仿宋" w:eastAsia="仿宋"/>
                <w:sz w:val="28"/>
                <w:szCs w:val="28"/>
              </w:rPr>
            </w:pPr>
          </w:p>
        </w:tc>
        <w:tc>
          <w:tcPr>
            <w:tcW w:w="1559"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ascii="仿宋" w:hAnsi="仿宋" w:eastAsia="仿宋"/>
                <w:sz w:val="28"/>
                <w:szCs w:val="28"/>
              </w:rPr>
              <w:t>铭牌备注：</w:t>
            </w:r>
            <w:r>
              <w:rPr>
                <w:rFonts w:hint="eastAsia" w:ascii="仿宋" w:hAnsi="仿宋" w:eastAsia="仿宋"/>
                <w:sz w:val="28"/>
                <w:szCs w:val="28"/>
              </w:rPr>
              <w:t>2.8T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8" w:hRule="atLeast"/>
        </w:trPr>
        <w:tc>
          <w:tcPr>
            <w:tcW w:w="851"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sz w:val="28"/>
                <w:szCs w:val="28"/>
              </w:rPr>
              <w:t>2</w:t>
            </w:r>
          </w:p>
        </w:tc>
        <w:tc>
          <w:tcPr>
            <w:tcW w:w="2126"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cs="宋体"/>
                <w:kern w:val="0"/>
                <w:sz w:val="28"/>
                <w:szCs w:val="28"/>
              </w:rPr>
              <w:t>新型欧式双梁起重机</w:t>
            </w:r>
          </w:p>
        </w:tc>
        <w:tc>
          <w:tcPr>
            <w:tcW w:w="2126" w:type="dxa"/>
            <w:tcMar>
              <w:top w:w="0" w:type="dxa"/>
              <w:left w:w="108" w:type="dxa"/>
              <w:bottom w:w="0" w:type="dxa"/>
              <w:right w:w="108" w:type="dxa"/>
            </w:tcMar>
            <w:vAlign w:val="center"/>
          </w:tcPr>
          <w:p>
            <w:pPr>
              <w:jc w:val="left"/>
              <w:rPr>
                <w:rFonts w:ascii="仿宋" w:hAnsi="仿宋" w:eastAsia="仿宋" w:cs="仿宋_GB2312"/>
                <w:sz w:val="28"/>
                <w:szCs w:val="28"/>
              </w:rPr>
            </w:pPr>
            <w:r>
              <w:rPr>
                <w:rFonts w:hint="eastAsia" w:ascii="仿宋" w:hAnsi="仿宋" w:eastAsia="仿宋" w:cs="仿宋"/>
                <w:kern w:val="0"/>
                <w:sz w:val="24"/>
                <w:highlight w:val="yellow"/>
              </w:rPr>
              <w:t>3T-13.9M-H9M</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_GB2312"/>
                <w:sz w:val="28"/>
                <w:szCs w:val="28"/>
              </w:rPr>
            </w:pPr>
            <w:r>
              <w:rPr>
                <w:rFonts w:hint="eastAsia" w:ascii="仿宋" w:hAnsi="仿宋" w:eastAsia="仿宋" w:cs="仿宋_GB2312"/>
                <w:sz w:val="28"/>
                <w:szCs w:val="28"/>
              </w:rPr>
              <w:t>台</w:t>
            </w:r>
          </w:p>
        </w:tc>
        <w:tc>
          <w:tcPr>
            <w:tcW w:w="850"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hint="eastAsia" w:ascii="仿宋" w:hAnsi="仿宋" w:eastAsia="仿宋"/>
                <w:sz w:val="28"/>
                <w:szCs w:val="28"/>
              </w:rPr>
              <w:t>2</w:t>
            </w:r>
          </w:p>
        </w:tc>
        <w:tc>
          <w:tcPr>
            <w:tcW w:w="851" w:type="dxa"/>
          </w:tcPr>
          <w:p>
            <w:pPr>
              <w:spacing w:line="520" w:lineRule="exact"/>
              <w:rPr>
                <w:rFonts w:ascii="仿宋" w:hAnsi="仿宋" w:eastAsia="仿宋"/>
                <w:sz w:val="28"/>
                <w:szCs w:val="28"/>
              </w:rPr>
            </w:pPr>
          </w:p>
        </w:tc>
        <w:tc>
          <w:tcPr>
            <w:tcW w:w="709" w:type="dxa"/>
          </w:tcPr>
          <w:p>
            <w:pPr>
              <w:spacing w:line="520" w:lineRule="exact"/>
              <w:rPr>
                <w:rFonts w:ascii="仿宋" w:hAnsi="仿宋" w:eastAsia="仿宋"/>
                <w:sz w:val="28"/>
                <w:szCs w:val="28"/>
              </w:rPr>
            </w:pPr>
          </w:p>
        </w:tc>
        <w:tc>
          <w:tcPr>
            <w:tcW w:w="1559" w:type="dxa"/>
            <w:tcMar>
              <w:top w:w="0" w:type="dxa"/>
              <w:left w:w="108" w:type="dxa"/>
              <w:bottom w:w="0" w:type="dxa"/>
              <w:right w:w="108" w:type="dxa"/>
            </w:tcMar>
            <w:vAlign w:val="center"/>
          </w:tcPr>
          <w:p>
            <w:pPr>
              <w:spacing w:line="520" w:lineRule="exact"/>
              <w:jc w:val="center"/>
              <w:rPr>
                <w:rFonts w:ascii="仿宋" w:hAnsi="仿宋" w:eastAsia="仿宋"/>
                <w:sz w:val="28"/>
                <w:szCs w:val="28"/>
              </w:rPr>
            </w:pPr>
            <w:r>
              <w:rPr>
                <w:rFonts w:ascii="仿宋" w:hAnsi="仿宋" w:eastAsia="仿宋"/>
                <w:sz w:val="28"/>
                <w:szCs w:val="28"/>
              </w:rPr>
              <w:t>铭牌备注：</w:t>
            </w:r>
            <w:r>
              <w:rPr>
                <w:rFonts w:hint="eastAsia" w:ascii="仿宋" w:hAnsi="仿宋" w:eastAsia="仿宋"/>
                <w:sz w:val="28"/>
                <w:szCs w:val="28"/>
              </w:rPr>
              <w:t>2.8T</w:t>
            </w: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spacing w:line="360" w:lineRule="auto"/>
        <w:ind w:firstLine="560" w:firstLineChars="200"/>
        <w:rPr>
          <w:rFonts w:ascii="仿宋" w:hAnsi="仿宋" w:eastAsia="仿宋" w:cs="仿宋"/>
          <w:kern w:val="0"/>
          <w:sz w:val="28"/>
          <w:szCs w:val="28"/>
          <w:highlight w:val="yellow"/>
        </w:rPr>
      </w:pPr>
      <w:r>
        <w:rPr>
          <w:rFonts w:hint="eastAsia" w:ascii="仿宋" w:hAnsi="仿宋" w:eastAsia="仿宋" w:cs="仿宋"/>
          <w:kern w:val="0"/>
          <w:sz w:val="28"/>
          <w:szCs w:val="28"/>
        </w:rPr>
        <w:t>（一）加工履行地：所有加工装配，应在乙方总部进行完成。甲方有权到乙方总部监督检查；</w:t>
      </w:r>
    </w:p>
    <w:p>
      <w:pPr>
        <w:widowControl/>
        <w:shd w:val="clear" w:color="auto" w:fill="FFFFFF"/>
        <w:spacing w:line="360" w:lineRule="auto"/>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（二）</w:t>
      </w:r>
      <w:r>
        <w:rPr>
          <w:rFonts w:hint="eastAsia" w:ascii="仿宋" w:hAnsi="仿宋" w:eastAsia="仿宋" w:cs="仿宋"/>
          <w:kern w:val="0"/>
          <w:sz w:val="28"/>
          <w:szCs w:val="28"/>
        </w:rPr>
        <w:t xml:space="preserve">3T-13.9M-H12（9）M  </w:t>
      </w:r>
      <w:r>
        <w:rPr>
          <w:rFonts w:hint="eastAsia" w:ascii="仿宋" w:hAnsi="仿宋" w:eastAsia="仿宋" w:cs="仿宋"/>
          <w:bCs/>
          <w:kern w:val="0"/>
          <w:sz w:val="28"/>
          <w:szCs w:val="28"/>
        </w:rPr>
        <w:t>A5  新型欧式葫芦双梁起重机</w:t>
      </w:r>
    </w:p>
    <w:p>
      <w:pPr>
        <w:ind w:firstLine="560" w:firstLineChars="200"/>
        <w:rPr>
          <w:rFonts w:ascii="仿宋_GB2312" w:hAnsi="仿宋_GB2312" w:eastAsia="仿宋_GB2312" w:cs="仿宋_GB2312"/>
          <w:sz w:val="28"/>
          <w:szCs w:val="32"/>
        </w:rPr>
      </w:pPr>
      <w:r>
        <w:rPr>
          <w:rFonts w:hint="eastAsia" w:ascii="仿宋" w:hAnsi="仿宋" w:eastAsia="仿宋" w:cs="仿宋"/>
          <w:kern w:val="0"/>
          <w:sz w:val="28"/>
          <w:szCs w:val="28"/>
        </w:rPr>
        <w:t>1.</w:t>
      </w:r>
      <w:r>
        <w:rPr>
          <w:rFonts w:hint="eastAsia" w:ascii="仿宋_GB2312" w:hAnsi="仿宋_GB2312" w:eastAsia="仿宋_GB2312" w:cs="仿宋_GB2312"/>
          <w:sz w:val="28"/>
          <w:szCs w:val="32"/>
        </w:rPr>
        <w:t>大车速度：2-30 m/min</w:t>
      </w:r>
      <w:r>
        <w:rPr>
          <w:rFonts w:hint="eastAsia" w:ascii="宋体" w:hAnsi="宋体" w:cs="楷体"/>
          <w:sz w:val="28"/>
          <w:szCs w:val="28"/>
        </w:rPr>
        <w:t>（变频调速）</w:t>
      </w:r>
      <w:r>
        <w:rPr>
          <w:rFonts w:hint="eastAsia" w:ascii="仿宋_GB2312" w:hAnsi="仿宋_GB2312" w:eastAsia="仿宋_GB2312" w:cs="仿宋_GB2312"/>
          <w:sz w:val="28"/>
          <w:szCs w:val="32"/>
        </w:rPr>
        <w:t xml:space="preserve">  小车速度：2-20m/min </w:t>
      </w:r>
      <w:r>
        <w:rPr>
          <w:rFonts w:hint="eastAsia" w:ascii="宋体" w:hAnsi="宋体" w:cs="楷体"/>
          <w:sz w:val="28"/>
          <w:szCs w:val="28"/>
        </w:rPr>
        <w:t>（变频调速）</w:t>
      </w:r>
      <w:r>
        <w:rPr>
          <w:rFonts w:hint="eastAsia" w:ascii="仿宋_GB2312" w:hAnsi="仿宋_GB2312" w:eastAsia="仿宋_GB2312" w:cs="仿宋_GB2312"/>
          <w:sz w:val="28"/>
          <w:szCs w:val="32"/>
        </w:rPr>
        <w:t xml:space="preserve"> 起升速度：0.8-8m/min；  </w:t>
      </w:r>
      <w:r>
        <w:rPr>
          <w:rFonts w:hint="eastAsia" w:ascii="仿宋" w:hAnsi="仿宋" w:eastAsia="仿宋" w:cs="仿宋"/>
          <w:kern w:val="0"/>
          <w:sz w:val="28"/>
          <w:szCs w:val="28"/>
        </w:rPr>
        <w:t xml:space="preserve">                                                                        </w:t>
      </w:r>
    </w:p>
    <w:p>
      <w:pPr>
        <w:pStyle w:val="19"/>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2.双速电机制动；</w:t>
      </w:r>
    </w:p>
    <w:p>
      <w:pPr>
        <w:pStyle w:val="19"/>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3.全车变频；遥控操作；</w:t>
      </w:r>
      <w:r>
        <w:rPr>
          <w:rFonts w:hint="eastAsia" w:ascii="宋体" w:hAnsi="宋体" w:cs="宋体"/>
          <w:kern w:val="0"/>
          <w:sz w:val="24"/>
        </w:rPr>
        <w:t>PLC控制；</w:t>
      </w:r>
      <w:r>
        <w:rPr>
          <w:rFonts w:hint="eastAsia" w:ascii="宋体" w:hAnsi="宋体" w:cs="宋体"/>
          <w:kern w:val="0"/>
          <w:sz w:val="24"/>
          <w:highlight w:val="yellow"/>
        </w:rPr>
        <w:t>不要驾驶室</w:t>
      </w:r>
    </w:p>
    <w:p>
      <w:pPr>
        <w:pStyle w:val="19"/>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kern w:val="0"/>
          <w:sz w:val="28"/>
          <w:szCs w:val="28"/>
        </w:rPr>
        <w:t xml:space="preserve"> </w:t>
      </w:r>
      <w:r>
        <w:rPr>
          <w:rFonts w:hint="eastAsia" w:ascii="仿宋_GB2312" w:hAnsi="仿宋_GB2312" w:eastAsia="仿宋_GB2312" w:cs="仿宋_GB2312"/>
          <w:sz w:val="28"/>
          <w:szCs w:val="32"/>
        </w:rPr>
        <w:t>噪音分贝：</w:t>
      </w:r>
      <w:r>
        <w:rPr>
          <w:rFonts w:hint="eastAsia" w:ascii="仿宋" w:hAnsi="仿宋" w:eastAsia="仿宋" w:cs="仿宋_GB2312"/>
          <w:sz w:val="28"/>
          <w:szCs w:val="32"/>
        </w:rPr>
        <w:t>≤</w:t>
      </w:r>
      <w:r>
        <w:rPr>
          <w:rFonts w:hint="eastAsia" w:ascii="仿宋_GB2312" w:hAnsi="仿宋_GB2312" w:eastAsia="仿宋_GB2312" w:cs="仿宋_GB2312"/>
          <w:sz w:val="28"/>
          <w:szCs w:val="32"/>
        </w:rPr>
        <w:t>65分贝；</w:t>
      </w:r>
    </w:p>
    <w:p>
      <w:pPr>
        <w:widowControl/>
        <w:shd w:val="clear" w:color="auto" w:fill="FFFFFF"/>
        <w:spacing w:line="4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5.变频器：三菱； 接触器：施耐德  ；</w:t>
      </w:r>
      <w:r>
        <w:rPr>
          <w:rFonts w:ascii="仿宋" w:hAnsi="仿宋" w:eastAsia="仿宋" w:cs="仿宋"/>
          <w:kern w:val="0"/>
          <w:sz w:val="28"/>
          <w:szCs w:val="28"/>
        </w:rPr>
        <w:t xml:space="preserve"> </w:t>
      </w:r>
    </w:p>
    <w:p>
      <w:pPr>
        <w:pStyle w:val="19"/>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6. 大车运行为江苏国茂三合一减速机（硬面齿轮）</w:t>
      </w:r>
      <w:r>
        <w:rPr>
          <w:rFonts w:hint="eastAsia" w:ascii="宋体" w:hAnsi="宋体" w:cs="宋体"/>
          <w:kern w:val="0"/>
          <w:sz w:val="24"/>
        </w:rPr>
        <w:t>或同档次品牌</w:t>
      </w:r>
      <w:r>
        <w:rPr>
          <w:rFonts w:hint="eastAsia" w:ascii="仿宋" w:hAnsi="仿宋" w:eastAsia="仿宋" w:cs="仿宋"/>
          <w:kern w:val="0"/>
          <w:sz w:val="28"/>
          <w:szCs w:val="28"/>
        </w:rPr>
        <w:t>；起升葫芦为进口诺威品牌。工作级别</w:t>
      </w:r>
      <w:r>
        <w:rPr>
          <w:rFonts w:hint="eastAsia" w:ascii="仿宋" w:hAnsi="仿宋" w:eastAsia="仿宋" w:cs="仿宋"/>
          <w:color w:val="FF0000"/>
          <w:kern w:val="0"/>
          <w:sz w:val="28"/>
          <w:szCs w:val="28"/>
        </w:rPr>
        <w:t>M</w:t>
      </w:r>
      <w:r>
        <w:rPr>
          <w:rFonts w:ascii="仿宋" w:hAnsi="仿宋" w:eastAsia="仿宋" w:cs="仿宋"/>
          <w:color w:val="FF0000"/>
          <w:kern w:val="0"/>
          <w:sz w:val="28"/>
          <w:szCs w:val="28"/>
        </w:rPr>
        <w:t>5</w:t>
      </w:r>
      <w:r>
        <w:rPr>
          <w:rFonts w:hint="eastAsia" w:ascii="仿宋" w:hAnsi="仿宋" w:eastAsia="仿宋" w:cs="仿宋"/>
          <w:kern w:val="0"/>
          <w:sz w:val="28"/>
          <w:szCs w:val="28"/>
        </w:rPr>
        <w:t>；</w:t>
      </w:r>
    </w:p>
    <w:p>
      <w:pPr>
        <w:pStyle w:val="19"/>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7.轴承：洛阳/瓦房店/哈尔滨轴承厂；</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8.桥身材料：Q235B，</w:t>
      </w:r>
      <w:r>
        <w:rPr>
          <w:rFonts w:ascii="仿宋_GB2312" w:hAnsi="仿宋_GB2312" w:eastAsia="仿宋_GB2312" w:cs="仿宋_GB2312"/>
          <w:sz w:val="28"/>
          <w:szCs w:val="32"/>
        </w:rPr>
        <w:t>大</w:t>
      </w:r>
      <w:r>
        <w:rPr>
          <w:rFonts w:hint="eastAsia" w:ascii="仿宋_GB2312" w:hAnsi="仿宋_GB2312" w:eastAsia="仿宋_GB2312" w:cs="仿宋_GB2312"/>
          <w:sz w:val="28"/>
          <w:szCs w:val="32"/>
        </w:rPr>
        <w:t>品牌、</w:t>
      </w:r>
      <w:r>
        <w:rPr>
          <w:rFonts w:ascii="仿宋_GB2312" w:hAnsi="仿宋_GB2312" w:eastAsia="仿宋_GB2312" w:cs="仿宋_GB2312"/>
          <w:sz w:val="28"/>
          <w:szCs w:val="32"/>
        </w:rPr>
        <w:t>国标产品</w:t>
      </w:r>
      <w:r>
        <w:rPr>
          <w:rFonts w:hint="eastAsia" w:ascii="仿宋_GB2312" w:hAnsi="仿宋_GB2312" w:eastAsia="仿宋_GB2312" w:cs="仿宋_GB2312"/>
          <w:sz w:val="28"/>
          <w:szCs w:val="32"/>
        </w:rPr>
        <w:t>；</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9.</w:t>
      </w:r>
      <w:r>
        <w:rPr>
          <w:rFonts w:hint="eastAsia" w:ascii="仿宋_GB2312" w:hAnsi="仿宋_GB2312" w:eastAsia="仿宋_GB2312" w:cs="仿宋_GB2312"/>
          <w:sz w:val="28"/>
          <w:szCs w:val="32"/>
          <w:highlight w:val="yellow"/>
        </w:rPr>
        <w:t>桥身两侧都有检修平台；</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10.钢丝绳：采用进口无油钢丝绳；</w:t>
      </w:r>
    </w:p>
    <w:p>
      <w:pPr>
        <w:ind w:firstLine="560" w:firstLineChars="200"/>
        <w:rPr>
          <w:rFonts w:ascii="仿宋_GB2312" w:hAnsi="仿宋_GB2312" w:eastAsia="仿宋_GB2312" w:cs="仿宋_GB2312"/>
          <w:sz w:val="28"/>
          <w:szCs w:val="32"/>
        </w:rPr>
      </w:pPr>
      <w:r>
        <w:rPr>
          <w:rFonts w:hint="eastAsia" w:ascii="仿宋" w:hAnsi="仿宋" w:eastAsia="仿宋" w:cs="仿宋"/>
          <w:kern w:val="0"/>
          <w:sz w:val="28"/>
          <w:szCs w:val="28"/>
        </w:rPr>
        <w:t>11.电缆：</w:t>
      </w:r>
      <w:r>
        <w:rPr>
          <w:rFonts w:ascii="仿宋_GB2312" w:hAnsi="仿宋_GB2312" w:eastAsia="仿宋_GB2312" w:cs="仿宋_GB2312"/>
          <w:sz w:val="28"/>
          <w:szCs w:val="32"/>
        </w:rPr>
        <w:t>大</w:t>
      </w:r>
      <w:r>
        <w:rPr>
          <w:rFonts w:hint="eastAsia" w:ascii="仿宋_GB2312" w:hAnsi="仿宋_GB2312" w:eastAsia="仿宋_GB2312" w:cs="仿宋_GB2312"/>
          <w:sz w:val="28"/>
          <w:szCs w:val="32"/>
        </w:rPr>
        <w:t>品牌、</w:t>
      </w:r>
      <w:r>
        <w:rPr>
          <w:rFonts w:ascii="仿宋_GB2312" w:hAnsi="仿宋_GB2312" w:eastAsia="仿宋_GB2312" w:cs="仿宋_GB2312"/>
          <w:sz w:val="28"/>
          <w:szCs w:val="32"/>
        </w:rPr>
        <w:t>国标产品</w:t>
      </w:r>
      <w:r>
        <w:rPr>
          <w:rFonts w:hint="eastAsia" w:ascii="仿宋_GB2312" w:hAnsi="仿宋_GB2312" w:eastAsia="仿宋_GB2312" w:cs="仿宋_GB2312"/>
          <w:sz w:val="28"/>
          <w:szCs w:val="32"/>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12.道轨（型号为P24-</w:t>
      </w:r>
      <w:r>
        <w:rPr>
          <w:rFonts w:hint="eastAsia" w:ascii="仿宋" w:hAnsi="仿宋" w:eastAsia="仿宋" w:cs="仿宋"/>
          <w:kern w:val="0"/>
          <w:sz w:val="28"/>
          <w:szCs w:val="28"/>
          <w:highlight w:val="yellow"/>
        </w:rPr>
        <w:t>单支道轨长度约73.85米,共两支</w:t>
      </w:r>
      <w:r>
        <w:rPr>
          <w:rFonts w:hint="eastAsia" w:ascii="仿宋" w:hAnsi="仿宋" w:eastAsia="仿宋" w:cs="仿宋"/>
          <w:kern w:val="0"/>
          <w:sz w:val="28"/>
          <w:szCs w:val="28"/>
        </w:rPr>
        <w:t>）及配件国标，（车档由乙方负责）；</w:t>
      </w:r>
    </w:p>
    <w:p>
      <w:pPr>
        <w:widowControl/>
        <w:shd w:val="clear" w:color="auto" w:fill="FFFFFF"/>
        <w:spacing w:line="4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13.无接缝滑线及配件（滑触线长度按照道轨长度计算）；</w:t>
      </w:r>
    </w:p>
    <w:p>
      <w:pPr>
        <w:pStyle w:val="19"/>
        <w:spacing w:line="360" w:lineRule="auto"/>
        <w:ind w:firstLine="560"/>
        <w:rPr>
          <w:rFonts w:ascii="仿宋_GB2312" w:hAnsi="仿宋_GB2312" w:eastAsia="仿宋_GB2312" w:cs="仿宋_GB2312"/>
          <w:sz w:val="28"/>
          <w:szCs w:val="32"/>
        </w:rPr>
      </w:pPr>
      <w:r>
        <w:rPr>
          <w:rFonts w:hint="eastAsia" w:ascii="仿宋" w:hAnsi="仿宋" w:eastAsia="仿宋" w:cs="仿宋"/>
          <w:kern w:val="0"/>
          <w:sz w:val="28"/>
          <w:szCs w:val="28"/>
        </w:rPr>
        <w:t>14.设备颜色：</w:t>
      </w:r>
      <w:r>
        <w:rPr>
          <w:rFonts w:hint="eastAsia" w:ascii="仿宋_GB2312" w:hAnsi="仿宋_GB2312" w:eastAsia="仿宋_GB2312" w:cs="仿宋_GB2312"/>
          <w:sz w:val="28"/>
          <w:szCs w:val="32"/>
          <w:highlight w:val="yellow"/>
        </w:rPr>
        <w:t>奶白</w:t>
      </w:r>
      <w:r>
        <w:rPr>
          <w:rFonts w:hint="eastAsia" w:ascii="仿宋_GB2312" w:hAnsi="仿宋_GB2312" w:eastAsia="仿宋_GB2312" w:cs="仿宋_GB2312"/>
          <w:sz w:val="28"/>
          <w:szCs w:val="32"/>
        </w:rPr>
        <w:t>色；</w:t>
      </w:r>
    </w:p>
    <w:p>
      <w:pPr>
        <w:widowControl/>
        <w:shd w:val="clear" w:color="auto" w:fill="FFFFFF"/>
        <w:spacing w:line="4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15.行车需配备超载限制器；</w:t>
      </w:r>
    </w:p>
    <w:p>
      <w:pPr>
        <w:spacing w:line="360" w:lineRule="auto"/>
        <w:ind w:firstLine="560" w:firstLineChars="200"/>
        <w:rPr>
          <w:rFonts w:ascii="仿宋_GB2312" w:hAnsi="仿宋_GB2312" w:eastAsia="仿宋_GB2312" w:cs="仿宋_GB2312"/>
          <w:sz w:val="28"/>
          <w:szCs w:val="32"/>
        </w:rPr>
      </w:pPr>
      <w:r>
        <w:rPr>
          <w:rFonts w:hint="eastAsia" w:ascii="仿宋" w:hAnsi="仿宋" w:eastAsia="仿宋" w:cs="仿宋"/>
          <w:kern w:val="0"/>
          <w:sz w:val="28"/>
          <w:szCs w:val="28"/>
        </w:rPr>
        <w:t>16.该工程为交钥匙工程，</w:t>
      </w:r>
      <w:r>
        <w:rPr>
          <w:rFonts w:hint="eastAsia" w:ascii="仿宋_GB2312" w:hAnsi="仿宋_GB2312" w:eastAsia="仿宋_GB2312" w:cs="仿宋_GB2312"/>
          <w:sz w:val="28"/>
          <w:szCs w:val="32"/>
        </w:rPr>
        <w:t>乙方负责起重机的安装事项；设备的运输、卸车、吊装、搬运所需的工具等费用及所有主辅材均由乙方负责；</w:t>
      </w:r>
    </w:p>
    <w:p>
      <w:pPr>
        <w:spacing w:line="360" w:lineRule="auto"/>
        <w:ind w:firstLine="280" w:firstLineChars="100"/>
        <w:rPr>
          <w:rFonts w:ascii="仿宋" w:hAnsi="仿宋" w:eastAsia="仿宋" w:cs="仿宋"/>
          <w:kern w:val="0"/>
          <w:sz w:val="28"/>
          <w:szCs w:val="28"/>
        </w:rPr>
      </w:pPr>
      <w:r>
        <w:rPr>
          <w:rFonts w:hint="eastAsia" w:ascii="仿宋" w:hAnsi="仿宋" w:eastAsia="仿宋" w:cs="仿宋"/>
          <w:kern w:val="0"/>
          <w:sz w:val="28"/>
          <w:szCs w:val="28"/>
        </w:rPr>
        <w:t>（三）投标方严格遵守招标方公司的相关规章制度，装卸中造成的任何人身伤害和财产损失，均由投标方承担全部责任。</w:t>
      </w:r>
    </w:p>
    <w:p>
      <w:pPr>
        <w:spacing w:line="360" w:lineRule="auto"/>
        <w:ind w:firstLine="280" w:firstLineChars="100"/>
        <w:rPr>
          <w:rFonts w:ascii="仿宋" w:hAnsi="仿宋" w:eastAsia="仿宋" w:cs="仿宋"/>
          <w:kern w:val="0"/>
          <w:sz w:val="28"/>
          <w:szCs w:val="28"/>
        </w:rPr>
      </w:pPr>
      <w:r>
        <w:rPr>
          <w:rFonts w:hint="eastAsia" w:ascii="仿宋" w:hAnsi="仿宋" w:eastAsia="仿宋" w:cs="仿宋"/>
          <w:kern w:val="0"/>
          <w:sz w:val="28"/>
          <w:szCs w:val="28"/>
        </w:rPr>
        <w:t>（四）起重机的运输、卸车、吊装、搬运、就位及所需的工具等费用均由投标方负责。</w:t>
      </w:r>
    </w:p>
    <w:p>
      <w:pPr>
        <w:widowControl/>
        <w:shd w:val="clear" w:color="auto" w:fill="FFFFFF"/>
        <w:spacing w:line="420" w:lineRule="exact"/>
        <w:ind w:firstLine="321" w:firstLineChars="100"/>
        <w:rPr>
          <w:rFonts w:ascii="宋体" w:hAnsi="宋体" w:cs="宋体"/>
          <w:b/>
          <w:color w:val="FF0000"/>
          <w:kern w:val="0"/>
          <w:sz w:val="32"/>
          <w:szCs w:val="32"/>
        </w:rPr>
      </w:pPr>
      <w:r>
        <w:rPr>
          <w:rFonts w:hint="eastAsia" w:ascii="宋体" w:hAnsi="宋体" w:cs="宋体"/>
          <w:b/>
          <w:color w:val="FF0000"/>
          <w:kern w:val="0"/>
          <w:sz w:val="32"/>
          <w:szCs w:val="32"/>
          <w:highlight w:val="yellow"/>
        </w:rPr>
        <w:t>注：中标方在加工起重机主梁前需要与施工方沟通落实准确的起重机跨度，切记!!!!!</w:t>
      </w:r>
    </w:p>
    <w:p>
      <w:pPr>
        <w:spacing w:line="360" w:lineRule="auto"/>
        <w:ind w:firstLine="280" w:firstLineChars="10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9"/>
        <w:spacing w:line="360" w:lineRule="auto"/>
        <w:ind w:left="720" w:firstLine="560"/>
        <w:rPr>
          <w:rFonts w:ascii="仿宋" w:hAnsi="仿宋" w:eastAsia="仿宋" w:cs="仿宋"/>
          <w:kern w:val="0"/>
          <w:sz w:val="28"/>
          <w:szCs w:val="28"/>
        </w:rPr>
      </w:pPr>
      <w:r>
        <w:rPr>
          <w:rFonts w:hint="eastAsia" w:ascii="仿宋" w:hAnsi="仿宋" w:eastAsia="仿宋" w:cs="仿宋"/>
          <w:kern w:val="0"/>
          <w:sz w:val="28"/>
          <w:szCs w:val="28"/>
        </w:rPr>
        <w:t>交货期，自合同签订生效之日起45日。中标方负责到招标方的运输及费用。如逾期到货，按合同应按合同总值的20%支付违约金给买方，招标方可直接从货款中扣除。如招标方逾期付款，按合同标的金额千分之一/日支付违约金给卖方。</w:t>
      </w:r>
    </w:p>
    <w:p>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9"/>
        <w:spacing w:line="360" w:lineRule="auto"/>
        <w:ind w:left="720" w:firstLine="56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9"/>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pStyle w:val="19"/>
        <w:spacing w:line="360" w:lineRule="auto"/>
        <w:ind w:left="720" w:firstLine="0" w:firstLineChars="0"/>
        <w:rPr>
          <w:rFonts w:ascii="仿宋" w:hAnsi="仿宋" w:eastAsia="仿宋" w:cs="仿宋"/>
          <w:kern w:val="0"/>
          <w:sz w:val="28"/>
          <w:szCs w:val="28"/>
        </w:rPr>
      </w:pPr>
    </w:p>
    <w:p>
      <w:pPr>
        <w:spacing w:line="360" w:lineRule="auto"/>
        <w:ind w:right="70"/>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pPr>
        <w:snapToGrid w:val="0"/>
        <w:spacing w:beforeLines="100" w:afterLines="100" w:line="360" w:lineRule="auto"/>
        <w:ind w:right="-50" w:rightChars="-24"/>
        <w:jc w:val="center"/>
        <w:rPr>
          <w:rFonts w:ascii="仿宋" w:hAnsi="仿宋" w:eastAsia="仿宋" w:cs="仿宋"/>
          <w:b/>
          <w:bCs/>
          <w:sz w:val="36"/>
          <w:szCs w:val="36"/>
        </w:rPr>
      </w:pP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pPr>
      <w:r>
        <w:rPr>
          <w:rFonts w:hint="eastAsia" w:ascii="仿宋" w:hAnsi="仿宋" w:eastAsia="仿宋" w:cs="仿宋"/>
          <w:b/>
          <w:sz w:val="28"/>
          <w:szCs w:val="28"/>
        </w:rPr>
        <w:t xml:space="preserve">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2"/>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5"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p>
        </w:tc>
        <w:tc>
          <w:tcPr>
            <w:tcW w:w="784"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2" w:type="dxa"/>
            <w:tcBorders>
              <w:tl2br w:val="nil"/>
              <w:tr2bl w:val="nil"/>
            </w:tcBorders>
          </w:tcPr>
          <w:p>
            <w:pPr>
              <w:spacing w:line="360" w:lineRule="auto"/>
              <w:jc w:val="center"/>
              <w:rPr>
                <w:rFonts w:ascii="仿宋" w:hAnsi="仿宋" w:eastAsia="仿宋" w:cs="仿宋"/>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11"/>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6"/>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pPr>
        <w:pStyle w:val="11"/>
        <w:ind w:firstLine="0" w:firstLineChars="0"/>
      </w:pPr>
    </w:p>
    <w:p>
      <w:pPr>
        <w:pStyle w:val="6"/>
        <w:rPr>
          <w:lang w:eastAsia="zh-CN"/>
        </w:rPr>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11"/>
        <w:ind w:firstLine="210"/>
        <w:rPr>
          <w:szCs w:val="21"/>
        </w:rPr>
      </w:pPr>
    </w:p>
    <w:p>
      <w:pPr>
        <w:pStyle w:val="11"/>
        <w:ind w:firstLine="0" w:firstLineChars="0"/>
        <w:rPr>
          <w:szCs w:val="21"/>
        </w:rPr>
      </w:pPr>
    </w:p>
    <w:p>
      <w:pPr>
        <w:pStyle w:val="11"/>
        <w:ind w:firstLine="321"/>
        <w:jc w:val="center"/>
        <w:rPr>
          <w:b/>
          <w:bCs/>
          <w:sz w:val="32"/>
          <w:szCs w:val="32"/>
        </w:rPr>
      </w:pPr>
      <w:r>
        <w:rPr>
          <w:rFonts w:hint="eastAsia"/>
          <w:b/>
          <w:bCs/>
          <w:sz w:val="32"/>
          <w:szCs w:val="32"/>
        </w:rPr>
        <w:t>技术附件</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kern w:val="0"/>
          <w:sz w:val="28"/>
          <w:szCs w:val="28"/>
        </w:rPr>
      </w:pPr>
      <w:r>
        <w:rPr>
          <w:rFonts w:hint="eastAsia" w:ascii="仿宋" w:hAnsi="仿宋" w:eastAsia="仿宋" w:cs="仿宋"/>
          <w:b/>
          <w:bCs/>
          <w:sz w:val="28"/>
          <w:szCs w:val="28"/>
        </w:rPr>
        <w:t>甲方合同章                               乙方合同章</w:t>
      </w:r>
      <w:bookmarkStart w:id="0" w:name="_GoBack"/>
      <w:bookmarkEnd w:id="0"/>
    </w:p>
    <w:sectPr>
      <w:footerReference r:id="rId3" w:type="default"/>
      <w:pgSz w:w="11906" w:h="16838"/>
      <w:pgMar w:top="851" w:right="1021" w:bottom="851" w:left="9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8"/>
          <w:jc w:val="center"/>
        </w:pPr>
        <w:r>
          <w:fldChar w:fldCharType="begin"/>
        </w:r>
        <w:r>
          <w:instrText xml:space="preserve">PAGE   \* MERGEFORMAT</w:instrText>
        </w:r>
        <w:r>
          <w:fldChar w:fldCharType="separate"/>
        </w:r>
        <w:r>
          <w:rPr>
            <w:lang w:val="zh-CN"/>
          </w:rPr>
          <w:t>7</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016AB"/>
    <w:rsid w:val="00010475"/>
    <w:rsid w:val="000140A9"/>
    <w:rsid w:val="0002639C"/>
    <w:rsid w:val="00027922"/>
    <w:rsid w:val="00036F46"/>
    <w:rsid w:val="000400EC"/>
    <w:rsid w:val="000448D3"/>
    <w:rsid w:val="000668E7"/>
    <w:rsid w:val="00066B22"/>
    <w:rsid w:val="00073964"/>
    <w:rsid w:val="00082C71"/>
    <w:rsid w:val="00085DEC"/>
    <w:rsid w:val="000A04FB"/>
    <w:rsid w:val="000A36E6"/>
    <w:rsid w:val="000C2D34"/>
    <w:rsid w:val="000C6612"/>
    <w:rsid w:val="000D54A9"/>
    <w:rsid w:val="000F1A23"/>
    <w:rsid w:val="000F2FB0"/>
    <w:rsid w:val="0010092D"/>
    <w:rsid w:val="001217FC"/>
    <w:rsid w:val="001235A7"/>
    <w:rsid w:val="0013257F"/>
    <w:rsid w:val="0013572F"/>
    <w:rsid w:val="00142A98"/>
    <w:rsid w:val="00147373"/>
    <w:rsid w:val="00151284"/>
    <w:rsid w:val="0015334E"/>
    <w:rsid w:val="00153B2F"/>
    <w:rsid w:val="001544D9"/>
    <w:rsid w:val="00176660"/>
    <w:rsid w:val="00177105"/>
    <w:rsid w:val="00177883"/>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9401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8761B"/>
    <w:rsid w:val="00395CFB"/>
    <w:rsid w:val="003A42FB"/>
    <w:rsid w:val="003E7C96"/>
    <w:rsid w:val="003F2FFF"/>
    <w:rsid w:val="0040157A"/>
    <w:rsid w:val="00401E48"/>
    <w:rsid w:val="00434F86"/>
    <w:rsid w:val="00442BA8"/>
    <w:rsid w:val="004452CC"/>
    <w:rsid w:val="00447816"/>
    <w:rsid w:val="00481206"/>
    <w:rsid w:val="004815E2"/>
    <w:rsid w:val="0048716E"/>
    <w:rsid w:val="00491715"/>
    <w:rsid w:val="00496BF6"/>
    <w:rsid w:val="004C1FC6"/>
    <w:rsid w:val="004D7CF2"/>
    <w:rsid w:val="004E4C85"/>
    <w:rsid w:val="004E524E"/>
    <w:rsid w:val="004E65D5"/>
    <w:rsid w:val="004E7C03"/>
    <w:rsid w:val="004F2EB8"/>
    <w:rsid w:val="005004FF"/>
    <w:rsid w:val="00515A96"/>
    <w:rsid w:val="0052603E"/>
    <w:rsid w:val="0053237F"/>
    <w:rsid w:val="00532B15"/>
    <w:rsid w:val="00536026"/>
    <w:rsid w:val="00543389"/>
    <w:rsid w:val="00544194"/>
    <w:rsid w:val="00596B34"/>
    <w:rsid w:val="005B5982"/>
    <w:rsid w:val="005B5E50"/>
    <w:rsid w:val="005D1CFE"/>
    <w:rsid w:val="005D32F2"/>
    <w:rsid w:val="005D5885"/>
    <w:rsid w:val="005D6AA5"/>
    <w:rsid w:val="005E2E79"/>
    <w:rsid w:val="005E61F2"/>
    <w:rsid w:val="005E6B4B"/>
    <w:rsid w:val="005F48D1"/>
    <w:rsid w:val="006033A1"/>
    <w:rsid w:val="00616B60"/>
    <w:rsid w:val="00623702"/>
    <w:rsid w:val="00624F66"/>
    <w:rsid w:val="0062622B"/>
    <w:rsid w:val="00641833"/>
    <w:rsid w:val="00643949"/>
    <w:rsid w:val="0065204C"/>
    <w:rsid w:val="00654A9D"/>
    <w:rsid w:val="00655BEE"/>
    <w:rsid w:val="00663003"/>
    <w:rsid w:val="00666C0B"/>
    <w:rsid w:val="00670B15"/>
    <w:rsid w:val="00671045"/>
    <w:rsid w:val="00673247"/>
    <w:rsid w:val="00674491"/>
    <w:rsid w:val="0069446D"/>
    <w:rsid w:val="006A5A8E"/>
    <w:rsid w:val="006A6992"/>
    <w:rsid w:val="006B09D6"/>
    <w:rsid w:val="006B2553"/>
    <w:rsid w:val="006C1E9F"/>
    <w:rsid w:val="006D1F3B"/>
    <w:rsid w:val="006D6272"/>
    <w:rsid w:val="006F2E9D"/>
    <w:rsid w:val="006F3A14"/>
    <w:rsid w:val="006F569A"/>
    <w:rsid w:val="007106C3"/>
    <w:rsid w:val="00711421"/>
    <w:rsid w:val="00722FE0"/>
    <w:rsid w:val="0074530B"/>
    <w:rsid w:val="00746246"/>
    <w:rsid w:val="007576FD"/>
    <w:rsid w:val="00764464"/>
    <w:rsid w:val="00770C6D"/>
    <w:rsid w:val="0077320F"/>
    <w:rsid w:val="007858B7"/>
    <w:rsid w:val="007879AB"/>
    <w:rsid w:val="007A7E3F"/>
    <w:rsid w:val="007B17D6"/>
    <w:rsid w:val="007B743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B4453"/>
    <w:rsid w:val="008C1FCD"/>
    <w:rsid w:val="008C552F"/>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408D"/>
    <w:rsid w:val="009650B7"/>
    <w:rsid w:val="00975A8E"/>
    <w:rsid w:val="009844A1"/>
    <w:rsid w:val="0098763A"/>
    <w:rsid w:val="00992878"/>
    <w:rsid w:val="009971E6"/>
    <w:rsid w:val="009B67B8"/>
    <w:rsid w:val="009D5B70"/>
    <w:rsid w:val="009D6632"/>
    <w:rsid w:val="009E1157"/>
    <w:rsid w:val="009E1A4D"/>
    <w:rsid w:val="009F5CA6"/>
    <w:rsid w:val="00A156D3"/>
    <w:rsid w:val="00A23F9A"/>
    <w:rsid w:val="00A37EC4"/>
    <w:rsid w:val="00A550B3"/>
    <w:rsid w:val="00A6047A"/>
    <w:rsid w:val="00A65AC5"/>
    <w:rsid w:val="00A72CEF"/>
    <w:rsid w:val="00A76837"/>
    <w:rsid w:val="00A77C00"/>
    <w:rsid w:val="00A80462"/>
    <w:rsid w:val="00A96092"/>
    <w:rsid w:val="00AA2270"/>
    <w:rsid w:val="00AA37F6"/>
    <w:rsid w:val="00AC0A0D"/>
    <w:rsid w:val="00AD119B"/>
    <w:rsid w:val="00AD3E33"/>
    <w:rsid w:val="00AD5651"/>
    <w:rsid w:val="00AE7E20"/>
    <w:rsid w:val="00AF4760"/>
    <w:rsid w:val="00B02199"/>
    <w:rsid w:val="00B02A04"/>
    <w:rsid w:val="00B10A69"/>
    <w:rsid w:val="00B12C91"/>
    <w:rsid w:val="00B142FC"/>
    <w:rsid w:val="00B14D77"/>
    <w:rsid w:val="00B30B3D"/>
    <w:rsid w:val="00B3298E"/>
    <w:rsid w:val="00B37251"/>
    <w:rsid w:val="00B37A75"/>
    <w:rsid w:val="00B45E35"/>
    <w:rsid w:val="00B637ED"/>
    <w:rsid w:val="00B67662"/>
    <w:rsid w:val="00B7015D"/>
    <w:rsid w:val="00B7152E"/>
    <w:rsid w:val="00B75E47"/>
    <w:rsid w:val="00B8449E"/>
    <w:rsid w:val="00B858A1"/>
    <w:rsid w:val="00BC1EA3"/>
    <w:rsid w:val="00BE0350"/>
    <w:rsid w:val="00BE2C08"/>
    <w:rsid w:val="00C0034E"/>
    <w:rsid w:val="00C01070"/>
    <w:rsid w:val="00C035CB"/>
    <w:rsid w:val="00C13764"/>
    <w:rsid w:val="00C327A2"/>
    <w:rsid w:val="00C354EF"/>
    <w:rsid w:val="00C54657"/>
    <w:rsid w:val="00C55925"/>
    <w:rsid w:val="00C56EFB"/>
    <w:rsid w:val="00C61559"/>
    <w:rsid w:val="00C756C1"/>
    <w:rsid w:val="00C84B6A"/>
    <w:rsid w:val="00C867AC"/>
    <w:rsid w:val="00CA062E"/>
    <w:rsid w:val="00CA1D42"/>
    <w:rsid w:val="00CA3662"/>
    <w:rsid w:val="00CA3E05"/>
    <w:rsid w:val="00CA528B"/>
    <w:rsid w:val="00CA7FE7"/>
    <w:rsid w:val="00CB7709"/>
    <w:rsid w:val="00CD3A84"/>
    <w:rsid w:val="00CD6F7D"/>
    <w:rsid w:val="00D029AD"/>
    <w:rsid w:val="00D07F18"/>
    <w:rsid w:val="00D23019"/>
    <w:rsid w:val="00D2706D"/>
    <w:rsid w:val="00D3366E"/>
    <w:rsid w:val="00D436FA"/>
    <w:rsid w:val="00D44861"/>
    <w:rsid w:val="00D45633"/>
    <w:rsid w:val="00D51428"/>
    <w:rsid w:val="00D550B7"/>
    <w:rsid w:val="00D64CEE"/>
    <w:rsid w:val="00D67CFC"/>
    <w:rsid w:val="00D813B1"/>
    <w:rsid w:val="00D8203C"/>
    <w:rsid w:val="00D90689"/>
    <w:rsid w:val="00DA4593"/>
    <w:rsid w:val="00DC474F"/>
    <w:rsid w:val="00DC4BAB"/>
    <w:rsid w:val="00DE7334"/>
    <w:rsid w:val="00DF31B7"/>
    <w:rsid w:val="00E02472"/>
    <w:rsid w:val="00E108FE"/>
    <w:rsid w:val="00E123D8"/>
    <w:rsid w:val="00E15EAC"/>
    <w:rsid w:val="00E225CA"/>
    <w:rsid w:val="00E3453F"/>
    <w:rsid w:val="00E43810"/>
    <w:rsid w:val="00E47AC3"/>
    <w:rsid w:val="00E51EA2"/>
    <w:rsid w:val="00E602BD"/>
    <w:rsid w:val="00E713E9"/>
    <w:rsid w:val="00E80FFB"/>
    <w:rsid w:val="00E87016"/>
    <w:rsid w:val="00E95A12"/>
    <w:rsid w:val="00EA0002"/>
    <w:rsid w:val="00EB43AF"/>
    <w:rsid w:val="00EB4919"/>
    <w:rsid w:val="00EB6A4E"/>
    <w:rsid w:val="00EC43BF"/>
    <w:rsid w:val="00EC75FB"/>
    <w:rsid w:val="00ED6B4A"/>
    <w:rsid w:val="00EE66BD"/>
    <w:rsid w:val="00EF3A07"/>
    <w:rsid w:val="00F04AE1"/>
    <w:rsid w:val="00F1223D"/>
    <w:rsid w:val="00F12F4E"/>
    <w:rsid w:val="00F20309"/>
    <w:rsid w:val="00F26664"/>
    <w:rsid w:val="00F3548F"/>
    <w:rsid w:val="00F63D41"/>
    <w:rsid w:val="00F65778"/>
    <w:rsid w:val="00F9277F"/>
    <w:rsid w:val="00F9392B"/>
    <w:rsid w:val="00F94F76"/>
    <w:rsid w:val="00F95172"/>
    <w:rsid w:val="00FB6232"/>
    <w:rsid w:val="00FC78C9"/>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A8C23F6"/>
    <w:rsid w:val="3E25152A"/>
    <w:rsid w:val="3FFA719D"/>
    <w:rsid w:val="406C535E"/>
    <w:rsid w:val="45011451"/>
    <w:rsid w:val="49586F36"/>
    <w:rsid w:val="4AC23C30"/>
    <w:rsid w:val="4CA95EBA"/>
    <w:rsid w:val="4DFC6236"/>
    <w:rsid w:val="51AD6F01"/>
    <w:rsid w:val="52D954E2"/>
    <w:rsid w:val="538B5D6C"/>
    <w:rsid w:val="546759DA"/>
    <w:rsid w:val="547C4E2A"/>
    <w:rsid w:val="54C67B58"/>
    <w:rsid w:val="561D0456"/>
    <w:rsid w:val="59CB7611"/>
    <w:rsid w:val="5D054434"/>
    <w:rsid w:val="5EA87FAD"/>
    <w:rsid w:val="636546D8"/>
    <w:rsid w:val="6477336A"/>
    <w:rsid w:val="64AB558A"/>
    <w:rsid w:val="6DC2661B"/>
    <w:rsid w:val="712C5A62"/>
    <w:rsid w:val="7452317D"/>
    <w:rsid w:val="753D7DC7"/>
    <w:rsid w:val="75936E93"/>
    <w:rsid w:val="760A5128"/>
    <w:rsid w:val="7DEA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w:basedOn w:val="1"/>
    <w:link w:val="30"/>
    <w:semiHidden/>
    <w:unhideWhenUsed/>
    <w:uiPriority w:val="0"/>
    <w:pPr>
      <w:spacing w:after="120"/>
    </w:pPr>
  </w:style>
  <w:style w:type="paragraph" w:styleId="5">
    <w:name w:val="Body Text Indent"/>
    <w:basedOn w:val="1"/>
    <w:link w:val="28"/>
    <w:uiPriority w:val="0"/>
    <w:pPr>
      <w:ind w:left="359" w:leftChars="171"/>
    </w:pPr>
    <w:rPr>
      <w:rFonts w:eastAsiaTheme="minorEastAsia"/>
      <w:sz w:val="24"/>
      <w:szCs w:val="20"/>
    </w:rPr>
  </w:style>
  <w:style w:type="paragraph" w:styleId="6">
    <w:name w:val="Plain Text"/>
    <w:basedOn w:val="1"/>
    <w:next w:val="1"/>
    <w:link w:val="32"/>
    <w:qFormat/>
    <w:uiPriority w:val="0"/>
    <w:pPr>
      <w:autoSpaceDE w:val="0"/>
      <w:autoSpaceDN w:val="0"/>
      <w:jc w:val="left"/>
    </w:pPr>
    <w:rPr>
      <w:rFonts w:ascii="宋体" w:hAnsi="Courier New" w:cs="Courier New"/>
      <w:kern w:val="0"/>
      <w:sz w:val="22"/>
      <w:szCs w:val="22"/>
      <w:lang w:eastAsia="en-US"/>
    </w:rPr>
  </w:style>
  <w:style w:type="paragraph" w:styleId="7">
    <w:name w:val="Balloon Text"/>
    <w:basedOn w:val="1"/>
    <w:link w:val="20"/>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w:basedOn w:val="4"/>
    <w:link w:val="31"/>
    <w:semiHidden/>
    <w:unhideWhenUsed/>
    <w:uiPriority w:val="0"/>
    <w:pPr>
      <w:ind w:firstLine="420" w:firstLineChars="100"/>
    </w:pPr>
  </w:style>
  <w:style w:type="table" w:styleId="13">
    <w:name w:val="Table Grid"/>
    <w:basedOn w:val="12"/>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uiPriority w:val="0"/>
  </w:style>
  <w:style w:type="character" w:customStyle="1" w:styleId="17">
    <w:name w:val="页眉 Char"/>
    <w:basedOn w:val="14"/>
    <w:link w:val="9"/>
    <w:qFormat/>
    <w:uiPriority w:val="0"/>
    <w:rPr>
      <w:rFonts w:eastAsia="宋体"/>
      <w:kern w:val="2"/>
      <w:sz w:val="18"/>
      <w:szCs w:val="18"/>
    </w:rPr>
  </w:style>
  <w:style w:type="character" w:customStyle="1" w:styleId="18">
    <w:name w:val="页脚 Char"/>
    <w:basedOn w:val="14"/>
    <w:link w:val="8"/>
    <w:qFormat/>
    <w:uiPriority w:val="99"/>
    <w:rPr>
      <w:rFonts w:eastAsia="宋体"/>
      <w:kern w:val="2"/>
      <w:sz w:val="18"/>
      <w:szCs w:val="18"/>
    </w:rPr>
  </w:style>
  <w:style w:type="paragraph" w:styleId="19">
    <w:name w:val="List Paragraph"/>
    <w:basedOn w:val="1"/>
    <w:qFormat/>
    <w:uiPriority w:val="99"/>
    <w:pPr>
      <w:ind w:firstLine="420" w:firstLineChars="200"/>
    </w:pPr>
  </w:style>
  <w:style w:type="character" w:customStyle="1" w:styleId="20">
    <w:name w:val="批注框文本 Char"/>
    <w:basedOn w:val="14"/>
    <w:link w:val="7"/>
    <w:qFormat/>
    <w:uiPriority w:val="0"/>
    <w:rPr>
      <w:rFonts w:eastAsia="宋体"/>
      <w:kern w:val="2"/>
      <w:sz w:val="18"/>
      <w:szCs w:val="18"/>
    </w:rPr>
  </w:style>
  <w:style w:type="character" w:customStyle="1" w:styleId="21">
    <w:name w:val="标题 1 Char"/>
    <w:basedOn w:val="14"/>
    <w:link w:val="2"/>
    <w:uiPriority w:val="0"/>
    <w:rPr>
      <w:rFonts w:eastAsia="宋体"/>
      <w:b/>
      <w:bCs/>
      <w:kern w:val="44"/>
      <w:sz w:val="44"/>
      <w:szCs w:val="44"/>
    </w:rPr>
  </w:style>
  <w:style w:type="character" w:customStyle="1" w:styleId="22">
    <w:name w:val="标题 1 Char1"/>
    <w:link w:val="2"/>
    <w:uiPriority w:val="0"/>
    <w:rPr>
      <w:rFonts w:ascii="Times New Roman" w:hAnsi="Times New Roman" w:eastAsia="宋体" w:cs="Times New Roman"/>
      <w:b/>
      <w:bCs/>
      <w:kern w:val="2"/>
      <w:sz w:val="28"/>
      <w:szCs w:val="24"/>
    </w:rPr>
  </w:style>
  <w:style w:type="character" w:customStyle="1" w:styleId="23">
    <w:name w:val="页脚 字符"/>
    <w:uiPriority w:val="0"/>
    <w:rPr>
      <w:kern w:val="2"/>
      <w:sz w:val="18"/>
      <w:szCs w:val="18"/>
    </w:rPr>
  </w:style>
  <w:style w:type="character" w:customStyle="1" w:styleId="24">
    <w:name w:val="页眉 字符"/>
    <w:uiPriority w:val="0"/>
    <w:rPr>
      <w:kern w:val="2"/>
      <w:sz w:val="18"/>
      <w:szCs w:val="18"/>
    </w:rPr>
  </w:style>
  <w:style w:type="character" w:customStyle="1" w:styleId="25">
    <w:name w:val="正文文本缩进 Char1"/>
    <w:link w:val="5"/>
    <w:uiPriority w:val="0"/>
    <w:rPr>
      <w:kern w:val="2"/>
      <w:sz w:val="24"/>
    </w:rPr>
  </w:style>
  <w:style w:type="character" w:customStyle="1" w:styleId="26">
    <w:name w:val="批注框文本 字符"/>
    <w:uiPriority w:val="0"/>
    <w:rPr>
      <w:kern w:val="2"/>
      <w:sz w:val="18"/>
      <w:szCs w:val="18"/>
    </w:rPr>
  </w:style>
  <w:style w:type="paragraph" w:customStyle="1" w:styleId="27">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5"/>
    <w:semiHidden/>
    <w:uiPriority w:val="0"/>
    <w:rPr>
      <w:rFonts w:eastAsia="宋体"/>
      <w:kern w:val="2"/>
      <w:sz w:val="21"/>
      <w:szCs w:val="24"/>
    </w:rPr>
  </w:style>
  <w:style w:type="paragraph" w:customStyle="1" w:styleId="29">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0">
    <w:name w:val="正文文本 Char"/>
    <w:basedOn w:val="14"/>
    <w:link w:val="4"/>
    <w:semiHidden/>
    <w:uiPriority w:val="0"/>
    <w:rPr>
      <w:rFonts w:eastAsia="宋体"/>
      <w:kern w:val="2"/>
      <w:sz w:val="21"/>
      <w:szCs w:val="24"/>
    </w:rPr>
  </w:style>
  <w:style w:type="character" w:customStyle="1" w:styleId="31">
    <w:name w:val="正文首行缩进 Char"/>
    <w:basedOn w:val="30"/>
    <w:link w:val="11"/>
    <w:semiHidden/>
    <w:uiPriority w:val="0"/>
  </w:style>
  <w:style w:type="character" w:customStyle="1" w:styleId="32">
    <w:name w:val="纯文本 Char"/>
    <w:basedOn w:val="14"/>
    <w:link w:val="6"/>
    <w:qFormat/>
    <w:uiPriority w:val="0"/>
    <w:rPr>
      <w:rFonts w:ascii="宋体" w:hAnsi="Courier New" w:eastAsia="宋体" w:cs="Courier New"/>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4E1B7-216B-400C-B984-A13A9A1727DF}">
  <ds:schemaRefs/>
</ds:datastoreItem>
</file>

<file path=docProps/app.xml><?xml version="1.0" encoding="utf-8"?>
<Properties xmlns="http://schemas.openxmlformats.org/officeDocument/2006/extended-properties" xmlns:vt="http://schemas.openxmlformats.org/officeDocument/2006/docPropsVTypes">
  <Template>Normal</Template>
  <Pages>14</Pages>
  <Words>856</Words>
  <Characters>4881</Characters>
  <Lines>40</Lines>
  <Paragraphs>11</Paragraphs>
  <TotalTime>0</TotalTime>
  <ScaleCrop>false</ScaleCrop>
  <LinksUpToDate>false</LinksUpToDate>
  <CharactersWithSpaces>5726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京</cp:lastModifiedBy>
  <cp:lastPrinted>2018-08-20T02:56:00Z</cp:lastPrinted>
  <dcterms:modified xsi:type="dcterms:W3CDTF">2023-10-17T06:35:56Z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81347048BCBC4210847ECFF3720BEAC3_13</vt:lpwstr>
  </property>
</Properties>
</file>