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widowControl/>
        <w:spacing w:line="400" w:lineRule="exact"/>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7000吨年高速高频板5G用（HVLP）铜箔项目板式换热器采购</w:t>
      </w:r>
      <w:r>
        <w:rPr>
          <w:rFonts w:hint="eastAsia" w:ascii="仿宋" w:hAnsi="仿宋" w:eastAsia="仿宋" w:cs="仿宋"/>
          <w:b/>
          <w:bCs/>
          <w:spacing w:val="10"/>
          <w:sz w:val="28"/>
          <w:szCs w:val="28"/>
        </w:rPr>
        <w:t xml:space="preserve">   </w:t>
      </w:r>
    </w:p>
    <w:p>
      <w:pPr>
        <w:spacing w:line="360" w:lineRule="auto"/>
        <w:jc w:val="left"/>
        <w:rPr>
          <w:rFonts w:ascii="仿宋" w:hAnsi="仿宋" w:eastAsia="仿宋" w:cs="仿宋"/>
          <w:b/>
          <w:bCs/>
          <w:spacing w:val="10"/>
          <w:sz w:val="28"/>
          <w:szCs w:val="28"/>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2023年12月20日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7000吨年高速高频板5G用（HVLP）铜箔项目配套板式换热器</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二、项目名称：板式换热器采购</w:t>
      </w:r>
      <w:bookmarkStart w:id="0" w:name="_GoBack"/>
      <w:bookmarkEnd w:id="0"/>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技术投标时间：2023.12</w:t>
      </w:r>
      <w:r>
        <w:rPr>
          <w:rFonts w:hint="eastAsia" w:ascii="仿宋_GB2312" w:eastAsia="仿宋_GB2312"/>
          <w:b/>
          <w:color w:val="C00000"/>
          <w:sz w:val="28"/>
          <w:szCs w:val="28"/>
          <w:lang w:val="en-US" w:eastAsia="zh-CN"/>
        </w:rPr>
        <w:t>.20-12.25</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商务投标时间：2023.12</w:t>
      </w:r>
      <w:r>
        <w:rPr>
          <w:rFonts w:hint="eastAsia" w:ascii="仿宋_GB2312" w:eastAsia="仿宋_GB2312"/>
          <w:b/>
          <w:color w:val="C00000"/>
          <w:sz w:val="28"/>
          <w:szCs w:val="28"/>
          <w:lang w:val="en-US" w:eastAsia="zh-CN"/>
        </w:rPr>
        <w:t>.25-12.27</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p>
      <w:pPr>
        <w:spacing w:line="360" w:lineRule="auto"/>
        <w:ind w:right="70" w:firstLine="1124" w:firstLineChars="400"/>
        <w:rPr>
          <w:rFonts w:ascii="仿宋_GB2312" w:hAnsi="宋体" w:eastAsia="仿宋_GB2312"/>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jinbaosheb@</w:t>
      </w:r>
      <w:r>
        <w:rPr>
          <w:rFonts w:ascii="仿宋_GB2312" w:hAnsi="宋体" w:eastAsia="仿宋_GB2312"/>
          <w:b/>
          <w:bCs/>
          <w:sz w:val="28"/>
          <w:szCs w:val="28"/>
        </w:rPr>
        <w:t xml:space="preserve"> chinajinbao.com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方秀芹</w:t>
      </w:r>
      <w:r>
        <w:rPr>
          <w:rFonts w:hint="eastAsia" w:ascii="仿宋_GB2312" w:hAnsi="宋体" w:eastAsia="仿宋_GB2312"/>
          <w:color w:val="C00000"/>
          <w:sz w:val="28"/>
          <w:szCs w:val="28"/>
          <w:lang w:val="en-US" w:eastAsia="zh-CN"/>
        </w:rPr>
        <w:t>0535-2701503</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招远市国大路</w:t>
      </w:r>
      <w:r>
        <w:rPr>
          <w:rFonts w:hint="eastAsia" w:ascii="仿宋_GB2312" w:hAnsi="宋体" w:eastAsia="仿宋_GB2312"/>
          <w:b/>
          <w:bCs/>
          <w:sz w:val="28"/>
          <w:szCs w:val="28"/>
          <w:lang w:val="en-US" w:eastAsia="zh-CN"/>
        </w:rPr>
        <w:t>268号</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20000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auto"/>
          <w:sz w:val="28"/>
          <w:szCs w:val="28"/>
          <w:highlight w:val="yellow"/>
        </w:rPr>
        <w:t>（联系人：</w:t>
      </w:r>
      <w:r>
        <w:rPr>
          <w:rFonts w:hint="eastAsia" w:ascii="仿宋_GB2312" w:hAnsi="宋体" w:eastAsia="仿宋_GB2312"/>
          <w:b/>
          <w:bCs/>
          <w:color w:val="auto"/>
          <w:sz w:val="28"/>
          <w:szCs w:val="28"/>
          <w:highlight w:val="yellow"/>
          <w:lang w:eastAsia="zh-CN"/>
        </w:rPr>
        <w:t>方秀芹</w:t>
      </w:r>
      <w:r>
        <w:rPr>
          <w:rFonts w:hint="eastAsia" w:ascii="仿宋_GB2312" w:hAnsi="宋体" w:eastAsia="仿宋_GB2312"/>
          <w:b/>
          <w:bCs/>
          <w:color w:val="auto"/>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 w:hAnsi="仿宋" w:eastAsia="仿宋"/>
          <w:b/>
          <w:bCs/>
          <w:sz w:val="28"/>
          <w:szCs w:val="28"/>
        </w:rPr>
      </w:pPr>
      <w:r>
        <w:rPr>
          <w:rFonts w:hint="eastAsia" w:ascii="仿宋" w:hAnsi="仿宋" w:eastAsia="仿宋"/>
          <w:b/>
          <w:bCs/>
          <w:sz w:val="28"/>
          <w:szCs w:val="28"/>
        </w:rPr>
        <w:t>一一、付款要求</w:t>
      </w:r>
    </w:p>
    <w:p>
      <w:pPr>
        <w:spacing w:line="360" w:lineRule="auto"/>
        <w:ind w:right="70" w:firstLine="560" w:firstLineChars="200"/>
        <w:rPr>
          <w:rFonts w:ascii="仿宋" w:hAnsi="仿宋" w:eastAsia="仿宋"/>
          <w:color w:val="FF0000"/>
          <w:sz w:val="28"/>
          <w:szCs w:val="28"/>
        </w:rPr>
      </w:pPr>
      <w:r>
        <w:rPr>
          <w:rFonts w:hint="eastAsia" w:ascii="仿宋" w:hAnsi="仿宋" w:eastAsia="仿宋"/>
          <w:sz w:val="28"/>
          <w:szCs w:val="28"/>
        </w:rPr>
        <w:t>1、付款形式：</w:t>
      </w:r>
      <w:r>
        <w:rPr>
          <w:rFonts w:hint="eastAsia" w:ascii="仿宋" w:hAnsi="仿宋" w:eastAsia="仿宋"/>
          <w:color w:val="FF0000"/>
          <w:sz w:val="28"/>
          <w:szCs w:val="28"/>
          <w:highlight w:val="yellow"/>
        </w:rPr>
        <w:t>电汇</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2、付款方式：</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2.1、①预付款30%；②安装完成验收合格付款60%；③质保金10%（一</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年后付清）；</w:t>
      </w:r>
      <w:r>
        <w:rPr>
          <w:rFonts w:hint="eastAsia" w:ascii="仿宋" w:hAnsi="仿宋" w:eastAsia="仿宋"/>
          <w:sz w:val="28"/>
          <w:szCs w:val="28"/>
          <w:highlight w:val="yellow"/>
        </w:rPr>
        <w:t>预付款，需开具同等金额银行履约保函后才能付款。</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2.2、①到货安装完成验收合格付款90%；②质保金10%（一年后付清）。</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2.3、或者比上述两者更优越的付款条件。</w:t>
      </w:r>
    </w:p>
    <w:p>
      <w:pPr>
        <w:spacing w:line="360" w:lineRule="auto"/>
        <w:ind w:right="70" w:firstLine="560" w:firstLineChars="200"/>
        <w:rPr>
          <w:rFonts w:ascii="仿宋" w:hAnsi="仿宋" w:eastAsia="仿宋"/>
          <w:sz w:val="28"/>
          <w:szCs w:val="28"/>
        </w:rPr>
      </w:pPr>
      <w:r>
        <w:rPr>
          <w:rFonts w:hint="eastAsia" w:ascii="仿宋" w:hAnsi="仿宋" w:eastAsia="仿宋"/>
          <w:sz w:val="28"/>
          <w:szCs w:val="28"/>
        </w:rPr>
        <w:t>3、售后或其他要求：</w:t>
      </w:r>
    </w:p>
    <w:p>
      <w:pPr>
        <w:spacing w:line="360" w:lineRule="auto"/>
        <w:ind w:right="70"/>
        <w:rPr>
          <w:rFonts w:ascii="仿宋" w:hAnsi="仿宋" w:eastAsia="仿宋"/>
          <w:b/>
          <w:bCs/>
          <w:sz w:val="28"/>
          <w:szCs w:val="28"/>
        </w:rPr>
      </w:pPr>
      <w:r>
        <w:rPr>
          <w:rFonts w:hint="eastAsia" w:ascii="仿宋" w:hAnsi="仿宋" w:eastAsia="仿宋"/>
          <w:b/>
          <w:bCs/>
          <w:sz w:val="28"/>
          <w:szCs w:val="28"/>
        </w:rPr>
        <w:t>二、工期要求</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1、交货日期：合同签订</w:t>
      </w:r>
      <w:r>
        <w:rPr>
          <w:rFonts w:ascii="仿宋" w:hAnsi="仿宋" w:eastAsia="仿宋"/>
          <w:sz w:val="28"/>
          <w:szCs w:val="28"/>
        </w:rPr>
        <w:t>后</w:t>
      </w:r>
      <w:r>
        <w:rPr>
          <w:rFonts w:hint="eastAsia" w:ascii="仿宋" w:hAnsi="仿宋" w:eastAsia="仿宋"/>
          <w:sz w:val="28"/>
          <w:szCs w:val="28"/>
          <w:u w:val="single"/>
        </w:rPr>
        <w:t>20日</w:t>
      </w:r>
      <w:r>
        <w:rPr>
          <w:rFonts w:hint="eastAsia" w:ascii="仿宋" w:hAnsi="仿宋" w:eastAsia="仿宋"/>
          <w:sz w:val="28"/>
          <w:szCs w:val="28"/>
        </w:rPr>
        <w:t>。</w:t>
      </w:r>
    </w:p>
    <w:p>
      <w:pPr>
        <w:pStyle w:val="19"/>
        <w:spacing w:line="360" w:lineRule="auto"/>
        <w:ind w:left="642" w:right="70" w:firstLine="0" w:firstLineChars="0"/>
        <w:rPr>
          <w:rFonts w:ascii="仿宋" w:hAnsi="仿宋" w:eastAsia="仿宋"/>
          <w:sz w:val="28"/>
          <w:szCs w:val="28"/>
        </w:rPr>
      </w:pPr>
      <w:r>
        <w:rPr>
          <w:rFonts w:hint="eastAsia" w:ascii="仿宋" w:hAnsi="仿宋" w:eastAsia="仿宋"/>
          <w:sz w:val="28"/>
          <w:szCs w:val="28"/>
        </w:rPr>
        <w:t>2、交货地点：</w:t>
      </w:r>
      <w:r>
        <w:rPr>
          <w:rFonts w:ascii="仿宋" w:hAnsi="仿宋" w:eastAsia="仿宋"/>
          <w:sz w:val="28"/>
          <w:szCs w:val="28"/>
        </w:rPr>
        <w:t xml:space="preserve"> 招远市金晖路</w:t>
      </w:r>
      <w:r>
        <w:rPr>
          <w:rFonts w:hint="eastAsia" w:ascii="仿宋" w:hAnsi="仿宋" w:eastAsia="仿宋"/>
          <w:sz w:val="28"/>
          <w:szCs w:val="28"/>
        </w:rPr>
        <w:t>229号</w:t>
      </w:r>
    </w:p>
    <w:p>
      <w:pPr>
        <w:spacing w:line="360" w:lineRule="auto"/>
        <w:ind w:right="70"/>
        <w:jc w:val="center"/>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rPr>
          <w:rFonts w:ascii="仿宋" w:hAnsi="仿宋" w:eastAsia="仿宋"/>
          <w:b/>
          <w:sz w:val="36"/>
          <w:szCs w:val="36"/>
        </w:rPr>
      </w:pPr>
    </w:p>
    <w:p>
      <w:pPr>
        <w:spacing w:line="360" w:lineRule="auto"/>
        <w:ind w:right="70"/>
        <w:jc w:val="center"/>
        <w:rPr>
          <w:rFonts w:ascii="仿宋" w:hAnsi="仿宋" w:eastAsia="仿宋"/>
          <w:b/>
          <w:sz w:val="36"/>
          <w:szCs w:val="36"/>
        </w:rPr>
      </w:pPr>
      <w:r>
        <w:rPr>
          <w:rFonts w:hint="eastAsia" w:ascii="仿宋" w:hAnsi="仿宋" w:eastAsia="仿宋"/>
          <w:b/>
          <w:sz w:val="36"/>
          <w:szCs w:val="36"/>
        </w:rPr>
        <w:t>技术指标及规格要求</w:t>
      </w:r>
    </w:p>
    <w:p>
      <w:pPr>
        <w:pStyle w:val="19"/>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12"/>
        <w:tblW w:w="9781"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1275"/>
        <w:gridCol w:w="709"/>
        <w:gridCol w:w="1134"/>
        <w:gridCol w:w="567"/>
        <w:gridCol w:w="851"/>
        <w:gridCol w:w="1701"/>
        <w:gridCol w:w="708"/>
        <w:gridCol w:w="709"/>
        <w:gridCol w:w="709"/>
        <w:gridCol w:w="7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1134" w:type="dxa"/>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板片品牌</w:t>
            </w:r>
          </w:p>
        </w:tc>
        <w:tc>
          <w:tcPr>
            <w:tcW w:w="567" w:type="dxa"/>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板片材质</w:t>
            </w:r>
          </w:p>
        </w:tc>
        <w:tc>
          <w:tcPr>
            <w:tcW w:w="851" w:type="dxa"/>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密封圈材质</w:t>
            </w:r>
          </w:p>
        </w:tc>
        <w:tc>
          <w:tcPr>
            <w:tcW w:w="170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技术参数</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709" w:type="dxa"/>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709" w:type="dxa"/>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709" w:type="dxa"/>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张家口浦项厚度0.6mm</w:t>
            </w:r>
          </w:p>
        </w:tc>
        <w:tc>
          <w:tcPr>
            <w:tcW w:w="567" w:type="dxa"/>
            <w:vAlign w:val="center"/>
          </w:tcPr>
          <w:p>
            <w:pPr>
              <w:jc w:val="center"/>
              <w:rPr>
                <w:rFonts w:ascii="宋体" w:hAnsi="宋体" w:cs="宋体"/>
                <w:sz w:val="18"/>
                <w:szCs w:val="18"/>
              </w:rPr>
            </w:pPr>
            <w:r>
              <w:rPr>
                <w:rFonts w:hint="eastAsia"/>
                <w:sz w:val="18"/>
                <w:szCs w:val="18"/>
              </w:rPr>
              <w:t>316L</w:t>
            </w:r>
          </w:p>
        </w:tc>
        <w:tc>
          <w:tcPr>
            <w:tcW w:w="851"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widowControl/>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换热面积15m2 口径DN80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张家口浦项厚度0.6mm</w:t>
            </w:r>
          </w:p>
        </w:tc>
        <w:tc>
          <w:tcPr>
            <w:tcW w:w="567" w:type="dxa"/>
            <w:vAlign w:val="center"/>
          </w:tcPr>
          <w:p>
            <w:pPr>
              <w:jc w:val="center"/>
              <w:rPr>
                <w:rFonts w:ascii="宋体" w:hAnsi="宋体" w:cs="宋体"/>
                <w:sz w:val="18"/>
                <w:szCs w:val="18"/>
              </w:rPr>
            </w:pPr>
            <w:r>
              <w:rPr>
                <w:rFonts w:hint="eastAsia"/>
                <w:sz w:val="18"/>
                <w:szCs w:val="18"/>
              </w:rPr>
              <w:t>316L</w:t>
            </w:r>
          </w:p>
        </w:tc>
        <w:tc>
          <w:tcPr>
            <w:tcW w:w="851"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换热面积35m2 口径DN100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张家口浦项厚度0.6mm</w:t>
            </w:r>
          </w:p>
        </w:tc>
        <w:tc>
          <w:tcPr>
            <w:tcW w:w="567" w:type="dxa"/>
            <w:vAlign w:val="center"/>
          </w:tcPr>
          <w:p>
            <w:pPr>
              <w:jc w:val="center"/>
              <w:rPr>
                <w:rFonts w:ascii="宋体" w:hAnsi="宋体" w:cs="宋体"/>
                <w:sz w:val="18"/>
                <w:szCs w:val="18"/>
              </w:rPr>
            </w:pPr>
            <w:r>
              <w:rPr>
                <w:rFonts w:hint="eastAsia"/>
                <w:sz w:val="18"/>
                <w:szCs w:val="18"/>
              </w:rPr>
              <w:t>316L</w:t>
            </w:r>
          </w:p>
        </w:tc>
        <w:tc>
          <w:tcPr>
            <w:tcW w:w="851" w:type="dxa"/>
          </w:tcPr>
          <w:p>
            <w:pPr>
              <w:jc w:val="cente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换热面积35m2 口径DN150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张家口浦项厚度0.6mm</w:t>
            </w:r>
          </w:p>
        </w:tc>
        <w:tc>
          <w:tcPr>
            <w:tcW w:w="567" w:type="dxa"/>
            <w:vAlign w:val="center"/>
          </w:tcPr>
          <w:p>
            <w:pPr>
              <w:jc w:val="center"/>
              <w:rPr>
                <w:rFonts w:ascii="宋体" w:hAnsi="宋体" w:cs="宋体"/>
                <w:sz w:val="18"/>
                <w:szCs w:val="18"/>
              </w:rPr>
            </w:pPr>
            <w:r>
              <w:rPr>
                <w:rFonts w:hint="eastAsia"/>
                <w:sz w:val="18"/>
                <w:szCs w:val="18"/>
              </w:rPr>
              <w:t>316L</w:t>
            </w:r>
          </w:p>
        </w:tc>
        <w:tc>
          <w:tcPr>
            <w:tcW w:w="851" w:type="dxa"/>
          </w:tcPr>
          <w:p>
            <w:pPr>
              <w:jc w:val="cente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换热面积50m2 口径DN150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日本新日铁厚度0.6mm</w:t>
            </w:r>
          </w:p>
        </w:tc>
        <w:tc>
          <w:tcPr>
            <w:tcW w:w="567" w:type="dxa"/>
            <w:vAlign w:val="center"/>
          </w:tcPr>
          <w:p>
            <w:pPr>
              <w:jc w:val="center"/>
              <w:rPr>
                <w:rFonts w:ascii="宋体" w:hAnsi="宋体" w:cs="宋体"/>
                <w:sz w:val="18"/>
                <w:szCs w:val="18"/>
              </w:rPr>
            </w:pPr>
            <w:r>
              <w:rPr>
                <w:rFonts w:hint="eastAsia"/>
                <w:sz w:val="18"/>
                <w:szCs w:val="18"/>
              </w:rPr>
              <w:t>Ti</w:t>
            </w:r>
          </w:p>
        </w:tc>
        <w:tc>
          <w:tcPr>
            <w:tcW w:w="851" w:type="dxa"/>
          </w:tcPr>
          <w:p>
            <w:pPr>
              <w:jc w:val="cente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换热面积15m2 口径DN50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日本新日铁厚度0.6mm</w:t>
            </w:r>
          </w:p>
        </w:tc>
        <w:tc>
          <w:tcPr>
            <w:tcW w:w="567" w:type="dxa"/>
            <w:vAlign w:val="center"/>
          </w:tcPr>
          <w:p>
            <w:pPr>
              <w:jc w:val="center"/>
              <w:rPr>
                <w:rFonts w:ascii="宋体" w:hAnsi="宋体" w:cs="宋体"/>
                <w:sz w:val="18"/>
                <w:szCs w:val="18"/>
              </w:rPr>
            </w:pPr>
            <w:r>
              <w:rPr>
                <w:rFonts w:hint="eastAsia"/>
                <w:sz w:val="18"/>
                <w:szCs w:val="18"/>
              </w:rPr>
              <w:t>Ti</w:t>
            </w:r>
          </w:p>
        </w:tc>
        <w:tc>
          <w:tcPr>
            <w:tcW w:w="851" w:type="dxa"/>
          </w:tcPr>
          <w:p>
            <w:pPr>
              <w:jc w:val="cente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换热面积15m2 口径DN80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1275"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p>
        </w:tc>
        <w:tc>
          <w:tcPr>
            <w:tcW w:w="1134" w:type="dxa"/>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日本新日铁厚度0.6mm</w:t>
            </w:r>
          </w:p>
        </w:tc>
        <w:tc>
          <w:tcPr>
            <w:tcW w:w="567" w:type="dxa"/>
            <w:vAlign w:val="center"/>
          </w:tcPr>
          <w:p>
            <w:pPr>
              <w:jc w:val="center"/>
              <w:rPr>
                <w:rFonts w:ascii="宋体" w:hAnsi="宋体" w:cs="宋体"/>
                <w:sz w:val="18"/>
                <w:szCs w:val="18"/>
              </w:rPr>
            </w:pPr>
            <w:r>
              <w:rPr>
                <w:rFonts w:hint="eastAsia"/>
                <w:sz w:val="18"/>
                <w:szCs w:val="18"/>
              </w:rPr>
              <w:t>Ti</w:t>
            </w:r>
          </w:p>
        </w:tc>
        <w:tc>
          <w:tcPr>
            <w:tcW w:w="851" w:type="dxa"/>
          </w:tcPr>
          <w:p>
            <w:pPr>
              <w:jc w:val="center"/>
            </w:pPr>
            <w:r>
              <w:rPr>
                <w:rFonts w:ascii="仿宋_GB2312" w:hAnsi="仿宋_GB2312" w:eastAsia="仿宋_GB2312" w:cs="仿宋_GB2312"/>
                <w:szCs w:val="21"/>
              </w:rPr>
              <w:t>EPDM</w:t>
            </w:r>
          </w:p>
        </w:tc>
        <w:tc>
          <w:tcPr>
            <w:tcW w:w="1701"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换热面积30m2 口径DN150</w:t>
            </w:r>
          </w:p>
        </w:tc>
        <w:tc>
          <w:tcPr>
            <w:tcW w:w="708" w:type="dxa"/>
            <w:tcMar>
              <w:top w:w="0" w:type="dxa"/>
              <w:left w:w="108" w:type="dxa"/>
              <w:bottom w:w="0" w:type="dxa"/>
              <w:right w:w="108" w:type="dxa"/>
            </w:tcMar>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bl>
    <w:p>
      <w:pPr>
        <w:tabs>
          <w:tab w:val="left" w:pos="4680"/>
        </w:tabs>
        <w:snapToGrid w:val="0"/>
        <w:spacing w:line="360" w:lineRule="auto"/>
        <w:ind w:firstLine="480" w:firstLineChars="200"/>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w:t>
      </w:r>
      <w:r>
        <w:rPr>
          <w:rFonts w:hint="eastAsia"/>
        </w:rPr>
        <w:t xml:space="preserve"> </w:t>
      </w:r>
      <w:r>
        <w:rPr>
          <w:rFonts w:hint="eastAsia" w:ascii="仿宋_GB2312" w:hAnsi="仿宋_GB2312" w:eastAsia="仿宋_GB2312" w:cs="仿宋_GB2312"/>
          <w:sz w:val="28"/>
          <w:szCs w:val="32"/>
        </w:rPr>
        <w:t>招标方采购的板式换热器采用等截面可拆卸板式换热器（介质-</w:t>
      </w:r>
      <w:r>
        <w:rPr>
          <w:rFonts w:hint="eastAsia" w:ascii="仿宋_GB2312" w:hAnsi="仿宋_GB2312" w:eastAsia="仿宋_GB2312" w:cs="仿宋_GB2312"/>
          <w:sz w:val="28"/>
          <w:szCs w:val="32"/>
          <w:lang w:eastAsia="zh-CN"/>
        </w:rPr>
        <w:t>介质</w:t>
      </w:r>
      <w:r>
        <w:rPr>
          <w:rFonts w:hint="eastAsia" w:ascii="仿宋_GB2312" w:hAnsi="仿宋_GB2312" w:eastAsia="仿宋_GB2312" w:cs="仿宋_GB2312"/>
          <w:sz w:val="28"/>
          <w:szCs w:val="32"/>
        </w:rPr>
        <w:t>、水-水），投标方所提供的板式热交换器必须符合国家相关标准、规范要求，具备生产销售该类产品和进行有效售后服务的资格；</w:t>
      </w:r>
    </w:p>
    <w:p>
      <w:pPr>
        <w:ind w:left="210" w:leftChars="100" w:firstLine="560" w:firstLineChars="200"/>
        <w:rPr>
          <w:rFonts w:ascii="宋体" w:hAnsi="宋体" w:cs="宋体"/>
          <w:kern w:val="0"/>
          <w:sz w:val="20"/>
          <w:szCs w:val="20"/>
        </w:rPr>
      </w:pPr>
      <w:r>
        <w:rPr>
          <w:rFonts w:hint="eastAsia" w:ascii="仿宋_GB2312" w:hAnsi="仿宋_GB2312" w:eastAsia="仿宋_GB2312" w:cs="仿宋_GB2312"/>
          <w:sz w:val="28"/>
          <w:szCs w:val="32"/>
        </w:rPr>
        <w:t>2.技术参数及材质等见上表；</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3.板式换热器外部、内部保证不泄漏，介质与水禁止混流；</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4.板式换热器的运输、装卸车、吊装所需的工具等费用均由投标方负责；</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5.质保期1年；</w:t>
      </w:r>
    </w:p>
    <w:p>
      <w:pPr>
        <w:spacing w:line="360" w:lineRule="auto"/>
        <w:ind w:right="70" w:firstLine="840" w:firstLineChars="300"/>
        <w:rPr>
          <w:rFonts w:ascii="仿宋" w:hAnsi="仿宋" w:eastAsia="仿宋"/>
          <w:sz w:val="28"/>
          <w:szCs w:val="28"/>
        </w:rPr>
      </w:pPr>
      <w:r>
        <w:rPr>
          <w:rFonts w:hint="eastAsia" w:ascii="仿宋" w:hAnsi="仿宋" w:eastAsia="仿宋"/>
          <w:sz w:val="28"/>
          <w:szCs w:val="28"/>
        </w:rPr>
        <w:t>6.提供近3年在电解铜箔行业或类似行业的项目业绩。</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附：随机工具、易损件备件、操作手册、产品说明书、合格证等文本资料。</w:t>
      </w:r>
    </w:p>
    <w:p>
      <w:pPr>
        <w:ind w:firstLine="560" w:firstLineChars="200"/>
        <w:rPr>
          <w:rFonts w:ascii="仿宋" w:hAnsi="仿宋" w:eastAsia="仿宋" w:cs="仿宋_GB2312"/>
          <w:sz w:val="28"/>
          <w:szCs w:val="32"/>
        </w:rPr>
      </w:pPr>
      <w:r>
        <w:rPr>
          <w:rFonts w:hint="eastAsia" w:ascii="仿宋" w:hAnsi="仿宋" w:eastAsia="仿宋" w:cs="仿宋_GB2312"/>
          <w:sz w:val="28"/>
          <w:szCs w:val="32"/>
          <w:highlight w:val="yellow"/>
        </w:rPr>
        <w:t>注：</w:t>
      </w:r>
      <w:r>
        <w:rPr>
          <w:rFonts w:ascii="仿宋" w:hAnsi="仿宋" w:eastAsia="仿宋" w:cs="仿宋_GB2312"/>
          <w:sz w:val="28"/>
          <w:szCs w:val="32"/>
          <w:highlight w:val="yellow"/>
        </w:rPr>
        <w:t>建议投标方需到</w:t>
      </w:r>
      <w:r>
        <w:rPr>
          <w:rFonts w:hint="eastAsia" w:ascii="仿宋" w:hAnsi="仿宋" w:eastAsia="仿宋" w:cs="仿宋_GB2312"/>
          <w:sz w:val="28"/>
          <w:szCs w:val="32"/>
          <w:highlight w:val="yellow"/>
        </w:rPr>
        <w:t>铜箔金都事业部现场落实情况及参数后</w:t>
      </w:r>
      <w:r>
        <w:rPr>
          <w:rFonts w:ascii="仿宋" w:hAnsi="仿宋" w:eastAsia="仿宋" w:cs="仿宋_GB2312"/>
          <w:sz w:val="28"/>
          <w:szCs w:val="32"/>
          <w:highlight w:val="yellow"/>
        </w:rPr>
        <w:t>，并根据甲方要求</w:t>
      </w:r>
      <w:r>
        <w:rPr>
          <w:rFonts w:hint="eastAsia" w:ascii="仿宋" w:hAnsi="仿宋" w:eastAsia="仿宋" w:cs="仿宋_GB2312"/>
          <w:sz w:val="28"/>
          <w:szCs w:val="32"/>
          <w:highlight w:val="yellow"/>
        </w:rPr>
        <w:t>投标</w:t>
      </w:r>
      <w:r>
        <w:rPr>
          <w:rFonts w:ascii="仿宋" w:hAnsi="仿宋" w:eastAsia="仿宋" w:cs="仿宋_GB2312"/>
          <w:sz w:val="28"/>
          <w:szCs w:val="32"/>
          <w:highlight w:val="yellow"/>
        </w:rPr>
        <w:t>。（现场联系人：</w:t>
      </w:r>
      <w:r>
        <w:rPr>
          <w:rFonts w:hint="eastAsia" w:ascii="仿宋" w:hAnsi="仿宋" w:eastAsia="仿宋" w:cs="仿宋_GB2312"/>
          <w:sz w:val="28"/>
          <w:szCs w:val="32"/>
          <w:highlight w:val="yellow"/>
        </w:rPr>
        <w:t>薛林源  13583535466</w:t>
      </w:r>
      <w:r>
        <w:rPr>
          <w:rFonts w:ascii="仿宋" w:hAnsi="仿宋" w:eastAsia="仿宋" w:cs="仿宋_GB2312"/>
          <w:sz w:val="28"/>
          <w:szCs w:val="32"/>
          <w:highlight w:val="yellow"/>
        </w:rPr>
        <w:t>）</w:t>
      </w:r>
    </w:p>
    <w:p>
      <w:pPr>
        <w:rPr>
          <w:rFonts w:ascii="仿宋" w:hAnsi="仿宋" w:eastAsia="仿宋" w:cs="仿宋_GB2312"/>
          <w:b/>
          <w:sz w:val="28"/>
          <w:szCs w:val="32"/>
        </w:rPr>
      </w:pPr>
      <w:r>
        <w:rPr>
          <w:rFonts w:hint="eastAsia" w:ascii="仿宋" w:hAnsi="仿宋" w:eastAsia="仿宋" w:cs="仿宋_GB2312"/>
          <w:b/>
          <w:sz w:val="28"/>
          <w:szCs w:val="32"/>
        </w:rPr>
        <w:t>三、保证条款</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1、</w:t>
      </w:r>
      <w:r>
        <w:rPr>
          <w:rFonts w:hint="eastAsia" w:ascii="仿宋" w:hAnsi="仿宋" w:eastAsia="仿宋" w:cs="仿宋"/>
          <w:color w:val="000000"/>
          <w:kern w:val="0"/>
          <w:sz w:val="28"/>
          <w:szCs w:val="28"/>
        </w:rPr>
        <w:t>中标方</w:t>
      </w:r>
      <w:r>
        <w:rPr>
          <w:rFonts w:hint="eastAsia" w:ascii="仿宋" w:hAnsi="仿宋" w:eastAsia="仿宋" w:cs="仿宋_GB2312"/>
          <w:sz w:val="28"/>
          <w:szCs w:val="32"/>
        </w:rPr>
        <w:t>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2.因中标方所供货物给招标方造成环保等其他方面相关损失，中标方需承担全部赔偿责任。</w:t>
      </w:r>
    </w:p>
    <w:p>
      <w:pPr>
        <w:rPr>
          <w:rFonts w:ascii="仿宋" w:hAnsi="仿宋" w:eastAsia="仿宋" w:cs="仿宋_GB2312"/>
          <w:b/>
          <w:sz w:val="28"/>
          <w:szCs w:val="32"/>
        </w:rPr>
      </w:pPr>
      <w:r>
        <w:rPr>
          <w:rFonts w:hint="eastAsia" w:ascii="仿宋" w:hAnsi="仿宋" w:eastAsia="仿宋" w:cs="仿宋_GB2312"/>
          <w:b/>
          <w:sz w:val="28"/>
          <w:szCs w:val="32"/>
        </w:rPr>
        <w:t>四、交货期及运费</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交货期，自合同签订生效之日起</w:t>
      </w:r>
      <w:r>
        <w:rPr>
          <w:rFonts w:hint="eastAsia" w:ascii="仿宋" w:hAnsi="仿宋" w:eastAsia="仿宋" w:cs="仿宋_GB2312"/>
          <w:sz w:val="28"/>
          <w:szCs w:val="32"/>
          <w:u w:val="single"/>
        </w:rPr>
        <w:t>20日</w:t>
      </w:r>
      <w:r>
        <w:rPr>
          <w:rFonts w:hint="eastAsia" w:ascii="仿宋" w:hAnsi="仿宋" w:eastAsia="仿宋"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 w:hAnsi="仿宋" w:eastAsia="仿宋" w:cs="仿宋_GB2312"/>
          <w:b/>
          <w:sz w:val="28"/>
          <w:szCs w:val="32"/>
        </w:rPr>
      </w:pPr>
      <w:r>
        <w:rPr>
          <w:rFonts w:hint="eastAsia" w:ascii="仿宋" w:hAnsi="仿宋" w:eastAsia="仿宋" w:cs="仿宋_GB2312"/>
          <w:b/>
          <w:sz w:val="28"/>
          <w:szCs w:val="32"/>
        </w:rPr>
        <w:t>五、有关知识产权</w:t>
      </w:r>
    </w:p>
    <w:p>
      <w:pPr>
        <w:ind w:firstLine="560" w:firstLineChars="200"/>
        <w:rPr>
          <w:rFonts w:ascii="仿宋" w:hAnsi="仿宋" w:eastAsia="仿宋" w:cs="仿宋_GB2312"/>
          <w:sz w:val="28"/>
          <w:szCs w:val="32"/>
        </w:rPr>
      </w:pPr>
      <w:r>
        <w:rPr>
          <w:rFonts w:hint="eastAsia" w:ascii="仿宋" w:hAnsi="仿宋" w:eastAsia="仿宋"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 w:hAnsi="仿宋" w:eastAsia="仿宋" w:cs="仿宋_GB2312"/>
          <w:sz w:val="28"/>
          <w:szCs w:val="32"/>
        </w:rPr>
      </w:pPr>
      <w:r>
        <w:rPr>
          <w:rFonts w:hint="eastAsia" w:ascii="仿宋" w:hAnsi="仿宋" w:eastAsia="仿宋" w:cs="仿宋_GB2312"/>
          <w:b/>
          <w:sz w:val="28"/>
          <w:szCs w:val="32"/>
        </w:rPr>
        <w:t>六、售后服务、质量保证：</w:t>
      </w:r>
      <w:r>
        <w:rPr>
          <w:rFonts w:hint="eastAsia" w:ascii="仿宋" w:hAnsi="仿宋" w:eastAsia="仿宋" w:cs="仿宋_GB2312"/>
          <w:sz w:val="28"/>
          <w:szCs w:val="32"/>
        </w:rPr>
        <w:t>售后服务事项在合同中进行约定。</w:t>
      </w:r>
    </w:p>
    <w:p>
      <w:pPr>
        <w:spacing w:line="360" w:lineRule="auto"/>
        <w:ind w:right="70"/>
        <w:rPr>
          <w:rFonts w:ascii="仿宋" w:hAnsi="仿宋" w:eastAsia="仿宋" w:cs="仿宋_GB2312"/>
          <w:sz w:val="28"/>
          <w:szCs w:val="32"/>
        </w:rPr>
      </w:pPr>
    </w:p>
    <w:p>
      <w:pPr>
        <w:spacing w:line="360" w:lineRule="auto"/>
        <w:ind w:right="70"/>
        <w:rPr>
          <w:rFonts w:ascii="仿宋" w:hAnsi="仿宋" w:eastAsia="仿宋" w:cs="仿宋_GB2312"/>
          <w:sz w:val="28"/>
          <w:szCs w:val="32"/>
        </w:rPr>
      </w:pP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6"/>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w:t>
      </w:r>
      <w:r>
        <w:rPr>
          <w:rFonts w:hint="eastAsia" w:ascii="宋体" w:hAnsi="宋体" w:cs="宋体"/>
          <w:sz w:val="28"/>
          <w:szCs w:val="28"/>
        </w:rPr>
        <w:t> </w:t>
      </w:r>
      <w:r>
        <w:rPr>
          <w:rFonts w:hint="eastAsia" w:ascii="仿宋" w:hAnsi="仿宋" w:eastAsia="仿宋" w:cs="仿宋"/>
          <w:sz w:val="28"/>
          <w:szCs w:val="28"/>
        </w:rPr>
        <w:t>话：                           电</w:t>
      </w:r>
      <w:r>
        <w:rPr>
          <w:rFonts w:hint="eastAsia" w:ascii="宋体" w:hAnsi="宋体" w:cs="宋体"/>
          <w:sz w:val="28"/>
          <w:szCs w:val="28"/>
        </w:rPr>
        <w:t> </w:t>
      </w:r>
      <w:r>
        <w:rPr>
          <w:rFonts w:hint="eastAsia" w:ascii="仿宋" w:hAnsi="仿宋" w:eastAsia="仿宋" w:cs="仿宋"/>
          <w:sz w:val="28"/>
          <w:szCs w:val="28"/>
        </w:rPr>
        <w:t>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w:t>
      </w:r>
      <w:r>
        <w:rPr>
          <w:rFonts w:hint="eastAsia" w:ascii="宋体" w:hAnsi="宋体" w:cs="宋体"/>
          <w:sz w:val="28"/>
          <w:szCs w:val="28"/>
        </w:rPr>
        <w:t> </w:t>
      </w:r>
      <w:r>
        <w:rPr>
          <w:rFonts w:hint="eastAsia" w:ascii="仿宋" w:hAnsi="仿宋" w:eastAsia="仿宋" w:cs="仿宋"/>
          <w:sz w:val="28"/>
          <w:szCs w:val="28"/>
        </w:rPr>
        <w:t>号：1606 0217 0902 4200 204    账</w:t>
      </w:r>
      <w:r>
        <w:rPr>
          <w:rFonts w:hint="eastAsia" w:ascii="宋体" w:hAnsi="宋体" w:cs="宋体"/>
          <w:sz w:val="28"/>
          <w:szCs w:val="28"/>
        </w:rPr>
        <w:t> </w:t>
      </w:r>
      <w:r>
        <w:rPr>
          <w:rFonts w:hint="eastAsia" w:ascii="仿宋" w:hAnsi="仿宋" w:eastAsia="仿宋" w:cs="仿宋"/>
          <w:sz w:val="28"/>
          <w:szCs w:val="28"/>
        </w:rPr>
        <w:t>号：</w:t>
      </w:r>
    </w:p>
    <w:p>
      <w:pPr>
        <w:spacing w:line="360" w:lineRule="auto"/>
        <w:rPr>
          <w:rFonts w:ascii="仿宋" w:hAnsi="仿宋" w:eastAsia="仿宋" w:cs="仿宋"/>
          <w:sz w:val="28"/>
          <w:szCs w:val="28"/>
        </w:rPr>
      </w:pPr>
      <w:r>
        <w:rPr>
          <w:rFonts w:hint="eastAsia" w:ascii="仿宋" w:hAnsi="仿宋" w:eastAsia="仿宋" w:cs="仿宋"/>
          <w:sz w:val="28"/>
          <w:szCs w:val="28"/>
        </w:rPr>
        <w:t>税</w:t>
      </w:r>
      <w:r>
        <w:rPr>
          <w:rFonts w:hint="eastAsia" w:ascii="宋体" w:hAnsi="宋体" w:cs="宋体"/>
          <w:sz w:val="28"/>
          <w:szCs w:val="28"/>
        </w:rPr>
        <w:t> </w:t>
      </w:r>
      <w:r>
        <w:rPr>
          <w:rFonts w:hint="eastAsia" w:ascii="仿宋" w:hAnsi="仿宋" w:eastAsia="仿宋" w:cs="仿宋"/>
          <w:sz w:val="28"/>
          <w:szCs w:val="28"/>
        </w:rPr>
        <w:t>号：9137 0000 6134 2205 47     税</w:t>
      </w:r>
      <w:r>
        <w:rPr>
          <w:rFonts w:hint="eastAsia" w:ascii="宋体" w:hAnsi="宋体" w:cs="宋体"/>
          <w:sz w:val="28"/>
          <w:szCs w:val="28"/>
        </w:rPr>
        <w:t> </w:t>
      </w:r>
      <w:r>
        <w:rPr>
          <w:rFonts w:hint="eastAsia" w:ascii="仿宋" w:hAnsi="仿宋" w:eastAsia="仿宋" w:cs="仿宋"/>
          <w:sz w:val="28"/>
          <w:szCs w:val="28"/>
        </w:rPr>
        <w:t>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7"/>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pStyle w:val="11"/>
        <w:ind w:firstLine="0" w:firstLineChars="0"/>
        <w:rPr>
          <w:rFonts w:ascii="仿宋" w:hAnsi="仿宋" w:eastAsia="仿宋" w:cs="仿宋"/>
          <w:b/>
          <w:bCs/>
          <w:sz w:val="28"/>
          <w:szCs w:val="28"/>
        </w:rPr>
      </w:pPr>
    </w:p>
    <w:p>
      <w:pPr>
        <w:spacing w:line="360" w:lineRule="auto"/>
        <w:rPr>
          <w:rFonts w:ascii="仿宋" w:hAnsi="仿宋" w:eastAsia="仿宋" w:cs="仿宋"/>
          <w:kern w:val="0"/>
          <w:sz w:val="28"/>
          <w:szCs w:val="28"/>
        </w:rPr>
      </w:pPr>
    </w:p>
    <w:sectPr>
      <w:footerReference r:id="rId3" w:type="default"/>
      <w:pgSz w:w="11906" w:h="16838"/>
      <w:pgMar w:top="851" w:right="851" w:bottom="851"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9F847BF"/>
    <w:multiLevelType w:val="singleLevel"/>
    <w:tmpl w:val="39F847BF"/>
    <w:lvl w:ilvl="0" w:tentative="0">
      <w:start w:val="13"/>
      <w:numFmt w:val="chineseCounting"/>
      <w:suff w:val="nothing"/>
      <w:lvlText w:val="%1、"/>
      <w:lvlJc w:val="left"/>
      <w:rPr>
        <w:rFonts w:hint="eastAsia"/>
      </w:rPr>
    </w:lvl>
  </w:abstractNum>
  <w:abstractNum w:abstractNumId="4">
    <w:nsid w:val="5AF4EEE7"/>
    <w:multiLevelType w:val="singleLevel"/>
    <w:tmpl w:val="5AF4EEE7"/>
    <w:lvl w:ilvl="0" w:tentative="0">
      <w:start w:val="1"/>
      <w:numFmt w:val="chineseCounting"/>
      <w:suff w:val="nothing"/>
      <w:lvlText w:val="%1、"/>
      <w:lvlJc w:val="left"/>
    </w:lvl>
  </w:abstractNum>
  <w:abstractNum w:abstractNumId="5">
    <w:nsid w:val="5AF4F296"/>
    <w:multiLevelType w:val="singleLevel"/>
    <w:tmpl w:val="5AF4F296"/>
    <w:lvl w:ilvl="0" w:tentative="0">
      <w:start w:val="1"/>
      <w:numFmt w:val="decimal"/>
      <w:suff w:val="nothing"/>
      <w:lvlText w:val="%1、"/>
      <w:lvlJc w:val="left"/>
    </w:lvl>
  </w:abstractNum>
  <w:abstractNum w:abstractNumId="6">
    <w:nsid w:val="5AF4F74F"/>
    <w:multiLevelType w:val="singleLevel"/>
    <w:tmpl w:val="5AF4F74F"/>
    <w:lvl w:ilvl="0" w:tentative="0">
      <w:start w:val="2"/>
      <w:numFmt w:val="decimal"/>
      <w:suff w:val="nothing"/>
      <w:lvlText w:val="%1、"/>
      <w:lvlJc w:val="left"/>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171FD"/>
    <w:rsid w:val="0002639C"/>
    <w:rsid w:val="00027922"/>
    <w:rsid w:val="00036F46"/>
    <w:rsid w:val="000400EC"/>
    <w:rsid w:val="000448D3"/>
    <w:rsid w:val="00050D99"/>
    <w:rsid w:val="000668E7"/>
    <w:rsid w:val="00066B22"/>
    <w:rsid w:val="000730C2"/>
    <w:rsid w:val="0007363F"/>
    <w:rsid w:val="00073964"/>
    <w:rsid w:val="0008072E"/>
    <w:rsid w:val="00082C71"/>
    <w:rsid w:val="00085DEC"/>
    <w:rsid w:val="000A04FB"/>
    <w:rsid w:val="000A36E6"/>
    <w:rsid w:val="000C6612"/>
    <w:rsid w:val="000D54A9"/>
    <w:rsid w:val="000F1A23"/>
    <w:rsid w:val="000F2FB0"/>
    <w:rsid w:val="0010092D"/>
    <w:rsid w:val="001217FC"/>
    <w:rsid w:val="0013257F"/>
    <w:rsid w:val="0013572F"/>
    <w:rsid w:val="00142A98"/>
    <w:rsid w:val="00153202"/>
    <w:rsid w:val="0015334E"/>
    <w:rsid w:val="00153B2F"/>
    <w:rsid w:val="001544D9"/>
    <w:rsid w:val="0017553A"/>
    <w:rsid w:val="00177105"/>
    <w:rsid w:val="001815FF"/>
    <w:rsid w:val="001A5717"/>
    <w:rsid w:val="001C7E12"/>
    <w:rsid w:val="001C7EAB"/>
    <w:rsid w:val="001D0E12"/>
    <w:rsid w:val="001D6975"/>
    <w:rsid w:val="001E6B98"/>
    <w:rsid w:val="001F3AB8"/>
    <w:rsid w:val="001F5358"/>
    <w:rsid w:val="001F60A9"/>
    <w:rsid w:val="001F6B53"/>
    <w:rsid w:val="002005FA"/>
    <w:rsid w:val="00205265"/>
    <w:rsid w:val="002104F4"/>
    <w:rsid w:val="00210924"/>
    <w:rsid w:val="0021096D"/>
    <w:rsid w:val="002211E3"/>
    <w:rsid w:val="0022225D"/>
    <w:rsid w:val="00242018"/>
    <w:rsid w:val="002427B8"/>
    <w:rsid w:val="00264A49"/>
    <w:rsid w:val="00280892"/>
    <w:rsid w:val="002A0CA1"/>
    <w:rsid w:val="002B1690"/>
    <w:rsid w:val="002C2D1A"/>
    <w:rsid w:val="002C2FDF"/>
    <w:rsid w:val="002D121C"/>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0F0A"/>
    <w:rsid w:val="00385165"/>
    <w:rsid w:val="003879DA"/>
    <w:rsid w:val="00395CFB"/>
    <w:rsid w:val="003A1B4E"/>
    <w:rsid w:val="003A42FB"/>
    <w:rsid w:val="003D54BE"/>
    <w:rsid w:val="003E7C96"/>
    <w:rsid w:val="003F2FFF"/>
    <w:rsid w:val="00401E48"/>
    <w:rsid w:val="00434F86"/>
    <w:rsid w:val="00442BA8"/>
    <w:rsid w:val="004452CC"/>
    <w:rsid w:val="00447816"/>
    <w:rsid w:val="00460989"/>
    <w:rsid w:val="00481206"/>
    <w:rsid w:val="004815E2"/>
    <w:rsid w:val="0048716E"/>
    <w:rsid w:val="00491715"/>
    <w:rsid w:val="00496BF6"/>
    <w:rsid w:val="004B2CEE"/>
    <w:rsid w:val="004C1FC6"/>
    <w:rsid w:val="004D7CF2"/>
    <w:rsid w:val="004E4510"/>
    <w:rsid w:val="004E4C85"/>
    <w:rsid w:val="004E65D5"/>
    <w:rsid w:val="004E7C03"/>
    <w:rsid w:val="004F2EB8"/>
    <w:rsid w:val="005004FF"/>
    <w:rsid w:val="00515A96"/>
    <w:rsid w:val="0053182E"/>
    <w:rsid w:val="0053237F"/>
    <w:rsid w:val="00532B15"/>
    <w:rsid w:val="00543389"/>
    <w:rsid w:val="00544194"/>
    <w:rsid w:val="005967E0"/>
    <w:rsid w:val="00596B34"/>
    <w:rsid w:val="005A13E7"/>
    <w:rsid w:val="005A680C"/>
    <w:rsid w:val="005B0744"/>
    <w:rsid w:val="005B5982"/>
    <w:rsid w:val="005B5E50"/>
    <w:rsid w:val="005D1CFE"/>
    <w:rsid w:val="005D32F2"/>
    <w:rsid w:val="005D5885"/>
    <w:rsid w:val="005E2E79"/>
    <w:rsid w:val="005E61F2"/>
    <w:rsid w:val="005E6B4B"/>
    <w:rsid w:val="006033A1"/>
    <w:rsid w:val="00623702"/>
    <w:rsid w:val="00624ACC"/>
    <w:rsid w:val="00624F66"/>
    <w:rsid w:val="0062622B"/>
    <w:rsid w:val="006377E7"/>
    <w:rsid w:val="00641833"/>
    <w:rsid w:val="00643949"/>
    <w:rsid w:val="00654A9D"/>
    <w:rsid w:val="00654C79"/>
    <w:rsid w:val="00655399"/>
    <w:rsid w:val="00655BEE"/>
    <w:rsid w:val="00663003"/>
    <w:rsid w:val="0066542E"/>
    <w:rsid w:val="00670B15"/>
    <w:rsid w:val="00671045"/>
    <w:rsid w:val="00673247"/>
    <w:rsid w:val="00674491"/>
    <w:rsid w:val="0069446D"/>
    <w:rsid w:val="006A6992"/>
    <w:rsid w:val="006B2553"/>
    <w:rsid w:val="006C1E9F"/>
    <w:rsid w:val="006C65BC"/>
    <w:rsid w:val="006C73B1"/>
    <w:rsid w:val="006D1F3B"/>
    <w:rsid w:val="006D23EA"/>
    <w:rsid w:val="006D6272"/>
    <w:rsid w:val="006F2E9D"/>
    <w:rsid w:val="006F3A14"/>
    <w:rsid w:val="006F569A"/>
    <w:rsid w:val="006F79FB"/>
    <w:rsid w:val="007106C3"/>
    <w:rsid w:val="00711421"/>
    <w:rsid w:val="00722FE0"/>
    <w:rsid w:val="007360E7"/>
    <w:rsid w:val="0074530B"/>
    <w:rsid w:val="00746246"/>
    <w:rsid w:val="007576FD"/>
    <w:rsid w:val="00764464"/>
    <w:rsid w:val="00770C6D"/>
    <w:rsid w:val="0077320F"/>
    <w:rsid w:val="007858B7"/>
    <w:rsid w:val="007A7E3F"/>
    <w:rsid w:val="007B17D6"/>
    <w:rsid w:val="007C5761"/>
    <w:rsid w:val="007D3EC9"/>
    <w:rsid w:val="007D5E12"/>
    <w:rsid w:val="007F32AC"/>
    <w:rsid w:val="00800B65"/>
    <w:rsid w:val="00807D12"/>
    <w:rsid w:val="00810526"/>
    <w:rsid w:val="0081621E"/>
    <w:rsid w:val="008269DC"/>
    <w:rsid w:val="00827E5A"/>
    <w:rsid w:val="008705B5"/>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926CC"/>
    <w:rsid w:val="00992878"/>
    <w:rsid w:val="0099688F"/>
    <w:rsid w:val="009B0D6A"/>
    <w:rsid w:val="009B67B8"/>
    <w:rsid w:val="009D5B70"/>
    <w:rsid w:val="009D6632"/>
    <w:rsid w:val="009E1157"/>
    <w:rsid w:val="009E1A4D"/>
    <w:rsid w:val="009E5BCC"/>
    <w:rsid w:val="009F5CA6"/>
    <w:rsid w:val="00A073B0"/>
    <w:rsid w:val="00A156D3"/>
    <w:rsid w:val="00A16889"/>
    <w:rsid w:val="00A23F9A"/>
    <w:rsid w:val="00A37EC4"/>
    <w:rsid w:val="00A550B3"/>
    <w:rsid w:val="00A55A5E"/>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93F"/>
    <w:rsid w:val="00B14D77"/>
    <w:rsid w:val="00B30B3D"/>
    <w:rsid w:val="00B3298E"/>
    <w:rsid w:val="00B33CB7"/>
    <w:rsid w:val="00B37251"/>
    <w:rsid w:val="00B37A75"/>
    <w:rsid w:val="00B45E35"/>
    <w:rsid w:val="00B50276"/>
    <w:rsid w:val="00B558B0"/>
    <w:rsid w:val="00B561FA"/>
    <w:rsid w:val="00B637ED"/>
    <w:rsid w:val="00B67662"/>
    <w:rsid w:val="00B7015D"/>
    <w:rsid w:val="00B7152E"/>
    <w:rsid w:val="00B75E47"/>
    <w:rsid w:val="00B858A1"/>
    <w:rsid w:val="00B93B58"/>
    <w:rsid w:val="00BE0350"/>
    <w:rsid w:val="00BE11D4"/>
    <w:rsid w:val="00BE2C08"/>
    <w:rsid w:val="00C0034E"/>
    <w:rsid w:val="00C01070"/>
    <w:rsid w:val="00C035CB"/>
    <w:rsid w:val="00C06753"/>
    <w:rsid w:val="00C13764"/>
    <w:rsid w:val="00C327A2"/>
    <w:rsid w:val="00C354EF"/>
    <w:rsid w:val="00C54657"/>
    <w:rsid w:val="00C55159"/>
    <w:rsid w:val="00C56EFB"/>
    <w:rsid w:val="00C61559"/>
    <w:rsid w:val="00C63533"/>
    <w:rsid w:val="00C669AD"/>
    <w:rsid w:val="00C756C1"/>
    <w:rsid w:val="00C84B6A"/>
    <w:rsid w:val="00C867AC"/>
    <w:rsid w:val="00CA062E"/>
    <w:rsid w:val="00CA1D42"/>
    <w:rsid w:val="00CA3662"/>
    <w:rsid w:val="00CA3E05"/>
    <w:rsid w:val="00CA7FE7"/>
    <w:rsid w:val="00CB7709"/>
    <w:rsid w:val="00CD3A84"/>
    <w:rsid w:val="00CD5039"/>
    <w:rsid w:val="00CD6F7D"/>
    <w:rsid w:val="00D216FE"/>
    <w:rsid w:val="00D23019"/>
    <w:rsid w:val="00D26871"/>
    <w:rsid w:val="00D2706D"/>
    <w:rsid w:val="00D3366E"/>
    <w:rsid w:val="00D3520B"/>
    <w:rsid w:val="00D436FA"/>
    <w:rsid w:val="00D45633"/>
    <w:rsid w:val="00D52D5F"/>
    <w:rsid w:val="00D64CEE"/>
    <w:rsid w:val="00D67CFC"/>
    <w:rsid w:val="00D813B1"/>
    <w:rsid w:val="00D90689"/>
    <w:rsid w:val="00DA4593"/>
    <w:rsid w:val="00DC474F"/>
    <w:rsid w:val="00DC4AEF"/>
    <w:rsid w:val="00DC4BAB"/>
    <w:rsid w:val="00DD4354"/>
    <w:rsid w:val="00DE29B1"/>
    <w:rsid w:val="00DE7334"/>
    <w:rsid w:val="00DF31B7"/>
    <w:rsid w:val="00E108FE"/>
    <w:rsid w:val="00E1245A"/>
    <w:rsid w:val="00E15EAC"/>
    <w:rsid w:val="00E225CA"/>
    <w:rsid w:val="00E43810"/>
    <w:rsid w:val="00E47AC3"/>
    <w:rsid w:val="00E51EA2"/>
    <w:rsid w:val="00E602BD"/>
    <w:rsid w:val="00E65FB9"/>
    <w:rsid w:val="00E713E9"/>
    <w:rsid w:val="00E7662F"/>
    <w:rsid w:val="00E80FFB"/>
    <w:rsid w:val="00E82DE0"/>
    <w:rsid w:val="00E87016"/>
    <w:rsid w:val="00E95A12"/>
    <w:rsid w:val="00EA0002"/>
    <w:rsid w:val="00EB43AF"/>
    <w:rsid w:val="00EB4919"/>
    <w:rsid w:val="00EB6A4E"/>
    <w:rsid w:val="00EC43BF"/>
    <w:rsid w:val="00ED6B4A"/>
    <w:rsid w:val="00EF3A07"/>
    <w:rsid w:val="00EF6D0F"/>
    <w:rsid w:val="00F04AE1"/>
    <w:rsid w:val="00F1223D"/>
    <w:rsid w:val="00F12F4E"/>
    <w:rsid w:val="00F20309"/>
    <w:rsid w:val="00F20CE0"/>
    <w:rsid w:val="00F3548F"/>
    <w:rsid w:val="00F4776A"/>
    <w:rsid w:val="00F63D41"/>
    <w:rsid w:val="00F65778"/>
    <w:rsid w:val="00F80D0C"/>
    <w:rsid w:val="00F9392B"/>
    <w:rsid w:val="00F93F80"/>
    <w:rsid w:val="00F94F4D"/>
    <w:rsid w:val="00F94F76"/>
    <w:rsid w:val="00F95172"/>
    <w:rsid w:val="00F97FAC"/>
    <w:rsid w:val="00FB6232"/>
    <w:rsid w:val="00FB6B7E"/>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1F521EF5"/>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09A1D3A"/>
    <w:rsid w:val="45011451"/>
    <w:rsid w:val="49586F36"/>
    <w:rsid w:val="4AC23C30"/>
    <w:rsid w:val="4CA95EBA"/>
    <w:rsid w:val="4DFC6236"/>
    <w:rsid w:val="51AD6F01"/>
    <w:rsid w:val="52D954E2"/>
    <w:rsid w:val="538B5D6C"/>
    <w:rsid w:val="546759DA"/>
    <w:rsid w:val="547C4E2A"/>
    <w:rsid w:val="54C67B58"/>
    <w:rsid w:val="5CFD1FC1"/>
    <w:rsid w:val="5D054434"/>
    <w:rsid w:val="5EA87FAD"/>
    <w:rsid w:val="5ED21866"/>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w:basedOn w:val="1"/>
    <w:link w:val="30"/>
    <w:semiHidden/>
    <w:unhideWhenUsed/>
    <w:qFormat/>
    <w:uiPriority w:val="0"/>
    <w:pPr>
      <w:spacing w:after="120"/>
    </w:pPr>
  </w:style>
  <w:style w:type="paragraph" w:styleId="5">
    <w:name w:val="Body Text Indent"/>
    <w:basedOn w:val="1"/>
    <w:link w:val="28"/>
    <w:qFormat/>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qFormat/>
    <w:uiPriority w:val="0"/>
    <w:pPr>
      <w:ind w:firstLine="420" w:firstLineChars="100"/>
    </w:pPr>
  </w:style>
  <w:style w:type="table" w:styleId="13">
    <w:name w:val="Table Grid"/>
    <w:basedOn w:val="12"/>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customStyle="1" w:styleId="17">
    <w:name w:val="页眉 Char"/>
    <w:basedOn w:val="14"/>
    <w:link w:val="9"/>
    <w:qFormat/>
    <w:uiPriority w:val="0"/>
    <w:rPr>
      <w:rFonts w:eastAsia="宋体"/>
      <w:kern w:val="2"/>
      <w:sz w:val="18"/>
      <w:szCs w:val="18"/>
    </w:rPr>
  </w:style>
  <w:style w:type="character" w:customStyle="1" w:styleId="18">
    <w:name w:val="页脚 Char"/>
    <w:basedOn w:val="14"/>
    <w:link w:val="8"/>
    <w:qFormat/>
    <w:uiPriority w:val="99"/>
    <w:rPr>
      <w:rFonts w:eastAsia="宋体"/>
      <w:kern w:val="2"/>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qFormat/>
    <w:uiPriority w:val="0"/>
    <w:rPr>
      <w:rFonts w:eastAsia="宋体"/>
      <w:b/>
      <w:bCs/>
      <w:kern w:val="44"/>
      <w:sz w:val="44"/>
      <w:szCs w:val="44"/>
    </w:rPr>
  </w:style>
  <w:style w:type="character" w:customStyle="1" w:styleId="22">
    <w:name w:val="标题 1 Char1"/>
    <w:link w:val="2"/>
    <w:qFormat/>
    <w:uiPriority w:val="0"/>
    <w:rPr>
      <w:rFonts w:ascii="Times New Roman" w:hAnsi="Times New Roman" w:eastAsia="宋体" w:cs="Times New Roman"/>
      <w:b/>
      <w:bCs/>
      <w:kern w:val="2"/>
      <w:sz w:val="28"/>
      <w:szCs w:val="24"/>
    </w:rPr>
  </w:style>
  <w:style w:type="character" w:customStyle="1" w:styleId="23">
    <w:name w:val="页脚 字符"/>
    <w:qFormat/>
    <w:uiPriority w:val="0"/>
    <w:rPr>
      <w:kern w:val="2"/>
      <w:sz w:val="18"/>
      <w:szCs w:val="18"/>
    </w:rPr>
  </w:style>
  <w:style w:type="character" w:customStyle="1" w:styleId="24">
    <w:name w:val="页眉 字符"/>
    <w:qFormat/>
    <w:uiPriority w:val="0"/>
    <w:rPr>
      <w:kern w:val="2"/>
      <w:sz w:val="18"/>
      <w:szCs w:val="18"/>
    </w:rPr>
  </w:style>
  <w:style w:type="character" w:customStyle="1" w:styleId="25">
    <w:name w:val="正文文本缩进 Char1"/>
    <w:link w:val="5"/>
    <w:qFormat/>
    <w:uiPriority w:val="0"/>
    <w:rPr>
      <w:kern w:val="2"/>
      <w:sz w:val="24"/>
    </w:rPr>
  </w:style>
  <w:style w:type="character" w:customStyle="1" w:styleId="26">
    <w:name w:val="批注框文本 字符"/>
    <w:qFormat/>
    <w:uiPriority w:val="0"/>
    <w:rPr>
      <w:kern w:val="2"/>
      <w:sz w:val="18"/>
      <w:szCs w:val="18"/>
    </w:rPr>
  </w:style>
  <w:style w:type="paragraph" w:customStyle="1" w:styleId="27">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semiHidden/>
    <w:qFormat/>
    <w:uiPriority w:val="0"/>
    <w:rPr>
      <w:rFonts w:eastAsia="宋体"/>
      <w:kern w:val="2"/>
      <w:sz w:val="21"/>
      <w:szCs w:val="24"/>
    </w:rPr>
  </w:style>
  <w:style w:type="paragraph" w:customStyle="1" w:styleId="29">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semiHidden/>
    <w:qFormat/>
    <w:uiPriority w:val="0"/>
    <w:rPr>
      <w:rFonts w:eastAsia="宋体"/>
      <w:kern w:val="2"/>
      <w:sz w:val="21"/>
      <w:szCs w:val="24"/>
    </w:rPr>
  </w:style>
  <w:style w:type="character" w:customStyle="1" w:styleId="31">
    <w:name w:val="正文首行缩进 Char"/>
    <w:basedOn w:val="30"/>
    <w:link w:val="11"/>
    <w:semiHidden/>
    <w:qFormat/>
    <w:uiPriority w:val="0"/>
  </w:style>
  <w:style w:type="character" w:customStyle="1" w:styleId="32">
    <w:name w:val="纯文本 Char"/>
    <w:basedOn w:val="14"/>
    <w:link w:val="6"/>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841</Words>
  <Characters>4798</Characters>
  <Lines>39</Lines>
  <Paragraphs>11</Paragraphs>
  <TotalTime>1150</TotalTime>
  <ScaleCrop>false</ScaleCrop>
  <LinksUpToDate>false</LinksUpToDate>
  <CharactersWithSpaces>5628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2023-12-20T08:24:57Z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3A3594D426B94C8DAF7C1ECEA30FBA53_12</vt:lpwstr>
  </property>
</Properties>
</file>