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复合板事业部</w:t>
      </w:r>
      <w:r>
        <w:rPr>
          <w:rFonts w:hint="default"/>
          <w:b/>
          <w:bCs/>
          <w:sz w:val="36"/>
          <w:szCs w:val="36"/>
          <w:lang w:eastAsia="zh-Hans"/>
        </w:rPr>
        <w:t>投料</w:t>
      </w:r>
      <w:r>
        <w:rPr>
          <w:rFonts w:hint="eastAsia"/>
          <w:b/>
          <w:bCs/>
          <w:sz w:val="36"/>
          <w:szCs w:val="36"/>
          <w:lang w:val="en-US" w:eastAsia="zh-Hans"/>
        </w:rPr>
        <w:t>工序劳务外包招标说明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山东金宝电子有限公司复合板事业部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工序主要为上胶工段加工制作树脂等生产材料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年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用量约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4200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为提高公司效益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降低成本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合理利用人力资源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现计划对外招标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投标单位资质要求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招远本地企业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公司为独立法人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营业执照齐全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具备相应的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Hans"/>
        </w:rPr>
        <w:t>劳务承包资质和用工资质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3、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具有多年制造类企业劳务承包经验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且业绩丰富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为员工正常缴纳社会养老保险或其它保障类商业险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报价及结算方式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按综合承包单价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每吨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含税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次月中旬统计上月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吨数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以出库单为准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由事业部确认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），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承包费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=投料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吨数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*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承包单价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在承包单位开具</w:t>
      </w:r>
      <w:r>
        <w:rPr>
          <w:rFonts w:hint="default" w:ascii="仿宋" w:hAnsi="仿宋" w:eastAsia="仿宋" w:cs="仿宋"/>
          <w:sz w:val="30"/>
          <w:szCs w:val="30"/>
          <w:shd w:val="clear" w:color="FFFFFF" w:fill="D9D9D9"/>
          <w:lang w:eastAsia="zh-Hans"/>
        </w:rPr>
        <w:t>6%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Hans"/>
        </w:rPr>
        <w:t>增值税发票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后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月底付款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投标须知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承包单位需充分考虑发包岗位用工实际情况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工作环境等因素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做好人员合理调度安排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不可影响正常生产运行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承包单位需做好人员管理和安全管理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按照规定作业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出现一切伤害事故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含发包方经济损失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责任均由承包单位承担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1、商务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jinbaocgzb@chinajinbao.com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2、投标截止时间：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2023.05.10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下午14：00前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3、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业务联系人：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徐楠  18863867016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4、商务投标联系人：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王建清  18105355840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="700" w:left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投标保证金：5000元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汇款资料：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单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称：山东金宝电子有限公司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帐  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号：5000 6473 3510 017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开 户 行：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恒丰银行招远支行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040" w:firstLineChars="18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山东金宝电子有限公司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2023年5月6日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A6EBD"/>
    <w:multiLevelType w:val="singleLevel"/>
    <w:tmpl w:val="7B7A6E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TQ1MjI2ZjFiOTc0MWZkMmM0Yjk2MGI5NDNiZjEifQ=="/>
  </w:docVars>
  <w:rsids>
    <w:rsidRoot w:val="5E671950"/>
    <w:rsid w:val="1F170F70"/>
    <w:rsid w:val="3FDF64E2"/>
    <w:rsid w:val="53CA55A5"/>
    <w:rsid w:val="5DFFA769"/>
    <w:rsid w:val="5E671950"/>
    <w:rsid w:val="5FD651F3"/>
    <w:rsid w:val="66FD6265"/>
    <w:rsid w:val="69E35EF9"/>
    <w:rsid w:val="6E154AB2"/>
    <w:rsid w:val="73F65D1C"/>
    <w:rsid w:val="77D76EA1"/>
    <w:rsid w:val="7B9A071D"/>
    <w:rsid w:val="7BFF2E24"/>
    <w:rsid w:val="7E7FB779"/>
    <w:rsid w:val="7F7FD2F5"/>
    <w:rsid w:val="B1DB9984"/>
    <w:rsid w:val="BCDFF85D"/>
    <w:rsid w:val="BFF260FA"/>
    <w:rsid w:val="DA7FC331"/>
    <w:rsid w:val="EF9FC820"/>
    <w:rsid w:val="F45FA237"/>
    <w:rsid w:val="FEA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619</Characters>
  <Lines>0</Lines>
  <Paragraphs>0</Paragraphs>
  <TotalTime>12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2023-05-05T00:43:00Z</dcterms:created>
  <dc:creator>路遥</dc:creator>
  <cp:lastModifiedBy>王建清</cp:lastModifiedBy>
  <dcterms:modified xsi:type="dcterms:W3CDTF">2023-05-05T23:58:37Z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3539717706486E49CDFF526467ECB056</vt:lpwstr>
  </property>
</Properties>
</file>