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jc w:val="center"/>
        <w:rPr>
          <w:rFonts w:hint="eastAsia" w:ascii="宋体" w:hAnsi="宋体" w:eastAsia="宋体" w:cs="宋体"/>
          <w:bCs/>
          <w:spacing w:val="60"/>
          <w:sz w:val="72"/>
          <w:szCs w:val="72"/>
        </w:rPr>
      </w:pPr>
    </w:p>
    <w:p>
      <w:pPr>
        <w:pStyle w:val="9"/>
        <w:spacing w:line="360" w:lineRule="auto"/>
        <w:jc w:val="center"/>
        <w:rPr>
          <w:rFonts w:hint="eastAsia" w:ascii="宋体" w:hAnsi="宋体" w:eastAsia="宋体" w:cs="宋体"/>
          <w:b/>
          <w:sz w:val="32"/>
          <w:szCs w:val="32"/>
          <w:highlight w:val="yellow"/>
        </w:rPr>
      </w:pPr>
      <w:r>
        <w:rPr>
          <w:rFonts w:hint="eastAsia" w:ascii="宋体" w:hAnsi="宋体" w:eastAsia="宋体" w:cs="宋体"/>
          <w:b/>
          <w:spacing w:val="60"/>
          <w:sz w:val="72"/>
          <w:szCs w:val="72"/>
        </w:rPr>
        <w:t>招标文件</w:t>
      </w:r>
    </w:p>
    <w:p>
      <w:pPr>
        <w:pStyle w:val="9"/>
        <w:spacing w:line="360" w:lineRule="auto"/>
        <w:rPr>
          <w:rFonts w:hint="eastAsia" w:ascii="宋体" w:hAnsi="宋体" w:eastAsia="宋体" w:cs="宋体"/>
          <w:sz w:val="32"/>
          <w:szCs w:val="32"/>
        </w:rPr>
      </w:pPr>
      <w:r>
        <w:rPr>
          <w:rFonts w:hint="eastAsia" w:ascii="宋体" w:hAnsi="宋体" w:eastAsia="宋体" w:cs="宋体"/>
          <w:b/>
          <w:spacing w:val="10"/>
          <w:sz w:val="28"/>
          <w:szCs w:val="28"/>
        </w:rPr>
        <w:t xml:space="preserve">                   </w:t>
      </w:r>
      <w:r>
        <w:rPr>
          <w:rFonts w:hint="eastAsia" w:ascii="宋体" w:hAnsi="宋体" w:eastAsia="宋体" w:cs="宋体"/>
          <w:b/>
          <w:spacing w:val="10"/>
          <w:sz w:val="28"/>
          <w:szCs w:val="28"/>
        </w:rPr>
        <w:drawing>
          <wp:inline distT="0" distB="0" distL="114300" distR="114300">
            <wp:extent cx="2334260" cy="2248535"/>
            <wp:effectExtent l="0" t="0" r="8890" b="18415"/>
            <wp:docPr id="1" name="图片 1"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25997506(1)"/>
                    <pic:cNvPicPr>
                      <a:picLocks noChangeAspect="1"/>
                    </pic:cNvPicPr>
                  </pic:nvPicPr>
                  <pic:blipFill>
                    <a:blip r:embed="rId7"/>
                    <a:stretch>
                      <a:fillRect/>
                    </a:stretch>
                  </pic:blipFill>
                  <pic:spPr>
                    <a:xfrm>
                      <a:off x="0" y="0"/>
                      <a:ext cx="2334260" cy="2248535"/>
                    </a:xfrm>
                    <a:prstGeom prst="rect">
                      <a:avLst/>
                    </a:prstGeom>
                    <a:noFill/>
                    <a:ln>
                      <a:noFill/>
                    </a:ln>
                  </pic:spPr>
                </pic:pic>
              </a:graphicData>
            </a:graphic>
          </wp:inline>
        </w:drawing>
      </w:r>
    </w:p>
    <w:p>
      <w:pPr>
        <w:pStyle w:val="9"/>
        <w:spacing w:line="360" w:lineRule="auto"/>
        <w:rPr>
          <w:rFonts w:hint="eastAsia" w:ascii="宋体" w:hAnsi="宋体" w:eastAsia="宋体" w:cs="宋体"/>
          <w:sz w:val="32"/>
          <w:szCs w:val="32"/>
        </w:rPr>
      </w:pPr>
    </w:p>
    <w:p>
      <w:pPr>
        <w:spacing w:line="360" w:lineRule="auto"/>
        <w:rPr>
          <w:rFonts w:hint="eastAsia" w:ascii="宋体" w:hAnsi="宋体" w:eastAsia="宋体" w:cs="宋体"/>
          <w:b/>
          <w:sz w:val="32"/>
          <w:szCs w:val="32"/>
        </w:rPr>
      </w:pPr>
    </w:p>
    <w:p>
      <w:pPr>
        <w:pStyle w:val="2"/>
        <w:ind w:firstLine="643"/>
        <w:rPr>
          <w:rFonts w:hint="eastAsia" w:ascii="宋体" w:hAnsi="宋体" w:eastAsia="宋体" w:cs="宋体"/>
          <w:b/>
          <w:szCs w:val="32"/>
        </w:rPr>
      </w:pPr>
    </w:p>
    <w:p>
      <w:pPr>
        <w:rPr>
          <w:rFonts w:hint="eastAsia" w:ascii="宋体" w:hAnsi="宋体" w:eastAsia="宋体" w:cs="宋体"/>
          <w:b/>
          <w:sz w:val="32"/>
          <w:szCs w:val="32"/>
        </w:rPr>
      </w:pPr>
    </w:p>
    <w:p>
      <w:pPr>
        <w:pStyle w:val="2"/>
        <w:ind w:firstLine="640"/>
        <w:rPr>
          <w:rFonts w:hint="eastAsia" w:ascii="宋体" w:hAnsi="宋体" w:eastAsia="宋体" w:cs="宋体"/>
        </w:rPr>
      </w:pPr>
    </w:p>
    <w:p>
      <w:pPr>
        <w:pStyle w:val="9"/>
        <w:spacing w:line="360" w:lineRule="auto"/>
        <w:ind w:firstLine="964" w:firstLineChars="300"/>
        <w:rPr>
          <w:rFonts w:hint="eastAsia" w:ascii="宋体" w:hAnsi="宋体" w:eastAsia="宋体" w:cs="宋体"/>
          <w:b/>
          <w:sz w:val="32"/>
          <w:szCs w:val="32"/>
          <w:highlight w:val="none"/>
          <w:lang w:val="en-US" w:eastAsia="zh-CN"/>
        </w:rPr>
      </w:pPr>
      <w:r>
        <w:rPr>
          <w:rFonts w:hint="eastAsia" w:ascii="宋体" w:hAnsi="宋体" w:eastAsia="宋体" w:cs="宋体"/>
          <w:b/>
          <w:sz w:val="32"/>
          <w:szCs w:val="32"/>
        </w:rPr>
        <w:t>项目名称：</w:t>
      </w:r>
      <w:r>
        <w:rPr>
          <w:rFonts w:hint="eastAsia" w:hAnsi="宋体" w:cs="宋体"/>
          <w:b/>
          <w:sz w:val="32"/>
          <w:szCs w:val="32"/>
          <w:lang w:eastAsia="zh-CN"/>
        </w:rPr>
        <w:t>铜箔提升续建</w:t>
      </w:r>
      <w:r>
        <w:rPr>
          <w:rFonts w:hint="eastAsia" w:hAnsi="宋体" w:cs="宋体"/>
          <w:b/>
          <w:sz w:val="32"/>
          <w:szCs w:val="32"/>
          <w:highlight w:val="none"/>
          <w:lang w:eastAsia="zh-CN"/>
        </w:rPr>
        <w:t>项目高低压</w:t>
      </w:r>
      <w:r>
        <w:rPr>
          <w:rFonts w:hint="eastAsia" w:hAnsi="宋体" w:cs="宋体"/>
          <w:b/>
          <w:sz w:val="32"/>
          <w:szCs w:val="32"/>
          <w:highlight w:val="none"/>
          <w:lang w:val="en-US" w:eastAsia="zh-CN"/>
        </w:rPr>
        <w:t>配电柜、控制柜</w:t>
      </w:r>
    </w:p>
    <w:p>
      <w:pPr>
        <w:pStyle w:val="9"/>
        <w:spacing w:line="360" w:lineRule="auto"/>
        <w:ind w:firstLine="1269" w:firstLineChars="395"/>
        <w:rPr>
          <w:rFonts w:hint="eastAsia" w:ascii="宋体" w:hAnsi="宋体" w:eastAsia="宋体" w:cs="宋体"/>
          <w:b/>
          <w:sz w:val="32"/>
          <w:szCs w:val="32"/>
          <w:lang w:eastAsia="zh-CN"/>
        </w:rPr>
      </w:pPr>
    </w:p>
    <w:p>
      <w:pPr>
        <w:spacing w:line="360" w:lineRule="auto"/>
        <w:ind w:firstLine="1269" w:firstLineChars="395"/>
        <w:rPr>
          <w:rFonts w:hint="eastAsia" w:ascii="宋体" w:hAnsi="宋体" w:eastAsia="宋体" w:cs="宋体"/>
          <w:b/>
          <w:sz w:val="32"/>
          <w:szCs w:val="32"/>
        </w:rPr>
      </w:pPr>
      <w:r>
        <w:rPr>
          <w:rFonts w:hint="eastAsia" w:ascii="宋体" w:hAnsi="宋体" w:eastAsia="宋体" w:cs="宋体"/>
          <w:b/>
          <w:sz w:val="32"/>
          <w:szCs w:val="32"/>
        </w:rPr>
        <w:t>招标单位：</w:t>
      </w:r>
      <w:r>
        <w:rPr>
          <w:rFonts w:hint="eastAsia" w:ascii="宋体" w:hAnsi="宋体" w:eastAsia="宋体" w:cs="宋体"/>
          <w:b/>
          <w:sz w:val="32"/>
          <w:szCs w:val="32"/>
          <w:lang w:val="zh-CN"/>
        </w:rPr>
        <w:t>山东</w:t>
      </w:r>
      <w:r>
        <w:rPr>
          <w:rFonts w:hint="eastAsia" w:ascii="宋体" w:hAnsi="宋体" w:eastAsia="宋体" w:cs="宋体"/>
          <w:b/>
          <w:sz w:val="32"/>
          <w:szCs w:val="32"/>
        </w:rPr>
        <w:t>金宝电子</w:t>
      </w:r>
      <w:r>
        <w:rPr>
          <w:rFonts w:hint="eastAsia" w:ascii="宋体" w:hAnsi="宋体" w:eastAsia="宋体" w:cs="宋体"/>
          <w:b/>
          <w:sz w:val="32"/>
          <w:szCs w:val="32"/>
          <w:lang w:val="zh-CN"/>
        </w:rPr>
        <w:t>有限公司</w:t>
      </w:r>
    </w:p>
    <w:p>
      <w:pPr>
        <w:spacing w:line="360" w:lineRule="auto"/>
        <w:ind w:firstLine="1269" w:firstLineChars="395"/>
        <w:rPr>
          <w:rFonts w:hint="eastAsia" w:ascii="宋体" w:hAnsi="宋体" w:eastAsia="宋体" w:cs="宋体"/>
          <w:b/>
          <w:sz w:val="32"/>
          <w:szCs w:val="32"/>
        </w:rPr>
      </w:pPr>
    </w:p>
    <w:p>
      <w:pPr>
        <w:pStyle w:val="12"/>
        <w:ind w:firstLine="3296" w:firstLineChars="1026"/>
        <w:jc w:val="both"/>
        <w:rPr>
          <w:rFonts w:hint="eastAsia" w:ascii="宋体" w:hAnsi="宋体" w:eastAsia="宋体" w:cs="宋体"/>
          <w:b/>
        </w:rPr>
      </w:pPr>
    </w:p>
    <w:p>
      <w:pPr>
        <w:pStyle w:val="12"/>
        <w:ind w:firstLine="3296" w:firstLineChars="1026"/>
        <w:jc w:val="both"/>
        <w:rPr>
          <w:rFonts w:hint="eastAsia" w:ascii="宋体" w:hAnsi="宋体" w:eastAsia="宋体" w:cs="宋体"/>
          <w:b/>
        </w:rPr>
      </w:pPr>
    </w:p>
    <w:p>
      <w:pPr>
        <w:pStyle w:val="12"/>
        <w:ind w:firstLine="3296" w:firstLineChars="1026"/>
        <w:jc w:val="both"/>
        <w:rPr>
          <w:rFonts w:hint="eastAsia" w:ascii="宋体" w:hAnsi="宋体" w:eastAsia="宋体" w:cs="宋体"/>
          <w:b/>
          <w:lang w:val="en-US" w:eastAsia="zh-CN"/>
        </w:rPr>
      </w:pPr>
      <w:r>
        <w:rPr>
          <w:rFonts w:hint="default" w:ascii="宋体" w:hAnsi="宋体" w:eastAsia="宋体" w:cs="宋体"/>
          <w:b/>
          <w:lang w:val="en-US"/>
        </w:rPr>
        <w:t>2022</w:t>
      </w:r>
      <w:r>
        <w:rPr>
          <w:rFonts w:hint="eastAsia" w:ascii="宋体" w:hAnsi="宋体" w:eastAsia="宋体" w:cs="宋体"/>
          <w:b/>
        </w:rPr>
        <w:t>年</w:t>
      </w:r>
      <w:r>
        <w:rPr>
          <w:rFonts w:hint="default" w:ascii="宋体" w:hAnsi="宋体" w:eastAsia="宋体" w:cs="宋体"/>
          <w:b/>
          <w:lang w:val="en-US" w:eastAsia="zh-CN"/>
        </w:rPr>
        <w:t>11</w:t>
      </w:r>
      <w:r>
        <w:rPr>
          <w:rFonts w:hint="eastAsia" w:ascii="宋体" w:hAnsi="宋体" w:eastAsia="宋体" w:cs="宋体"/>
          <w:b/>
        </w:rPr>
        <w:t>月</w:t>
      </w:r>
      <w:r>
        <w:rPr>
          <w:rFonts w:hint="default" w:ascii="宋体" w:hAnsi="宋体" w:eastAsia="宋体" w:cs="宋体"/>
          <w:b/>
          <w:lang w:val="en-US" w:eastAsia="zh-CN"/>
        </w:rPr>
        <w:t>2</w:t>
      </w:r>
      <w:r>
        <w:rPr>
          <w:rFonts w:hint="eastAsia" w:ascii="宋体" w:hAnsi="宋体" w:eastAsia="宋体" w:cs="宋体"/>
          <w:b/>
          <w:lang w:val="en-US" w:eastAsia="zh-CN"/>
        </w:rPr>
        <w:t>9</w:t>
      </w:r>
      <w:r>
        <w:rPr>
          <w:rFonts w:hint="eastAsia" w:ascii="宋体" w:hAnsi="宋体" w:eastAsia="宋体" w:cs="宋体"/>
          <w:b/>
          <w:lang w:eastAsia="zh-CN"/>
        </w:rPr>
        <w:t>日</w:t>
      </w:r>
    </w:p>
    <w:p>
      <w:pPr>
        <w:pStyle w:val="12"/>
        <w:ind w:firstLine="480"/>
        <w:rPr>
          <w:rFonts w:hint="eastAsia" w:ascii="宋体" w:hAnsi="宋体" w:eastAsia="宋体" w:cs="宋体"/>
        </w:rPr>
      </w:pPr>
    </w:p>
    <w:p>
      <w:pPr>
        <w:rPr>
          <w:rFonts w:hint="eastAsia" w:ascii="宋体" w:hAnsi="宋体" w:eastAsia="宋体" w:cs="宋体"/>
        </w:rPr>
      </w:pPr>
    </w:p>
    <w:p>
      <w:pPr>
        <w:pStyle w:val="15"/>
        <w:ind w:firstLine="420"/>
        <w:rPr>
          <w:rFonts w:hint="eastAsia" w:ascii="宋体" w:hAnsi="宋体" w:eastAsia="宋体" w:cs="宋体"/>
        </w:rPr>
      </w:pPr>
    </w:p>
    <w:p>
      <w:pPr>
        <w:pStyle w:val="12"/>
        <w:ind w:firstLine="480"/>
        <w:rPr>
          <w:rFonts w:hint="eastAsia" w:ascii="宋体" w:hAnsi="宋体" w:eastAsia="宋体" w:cs="宋体"/>
        </w:rPr>
      </w:pPr>
      <w:bookmarkStart w:id="0" w:name="_Toc30649"/>
    </w:p>
    <w:p>
      <w:pPr>
        <w:pStyle w:val="12"/>
        <w:ind w:firstLine="480"/>
        <w:rPr>
          <w:rFonts w:hint="eastAsia" w:ascii="宋体" w:hAnsi="宋体" w:eastAsia="宋体" w:cs="宋体"/>
        </w:rPr>
      </w:pPr>
      <w:r>
        <w:rPr>
          <w:rFonts w:hint="eastAsia" w:ascii="宋体" w:hAnsi="宋体" w:eastAsia="宋体" w:cs="宋体"/>
        </w:rPr>
        <w:t>投标注意事项</w:t>
      </w:r>
    </w:p>
    <w:p>
      <w:pPr>
        <w:pStyle w:val="9"/>
        <w:spacing w:before="120" w:beforeLines="50"/>
        <w:ind w:firstLine="480"/>
        <w:jc w:val="center"/>
        <w:rPr>
          <w:rFonts w:hint="eastAsia" w:ascii="宋体" w:hAnsi="宋体" w:eastAsia="宋体" w:cs="宋体"/>
          <w:b/>
          <w:sz w:val="32"/>
        </w:rPr>
      </w:pPr>
    </w:p>
    <w:p>
      <w:pPr>
        <w:spacing w:line="460" w:lineRule="exact"/>
        <w:rPr>
          <w:rFonts w:hint="eastAsia" w:ascii="宋体" w:hAnsi="宋体" w:eastAsia="宋体" w:cs="宋体"/>
          <w:sz w:val="24"/>
        </w:rPr>
      </w:pPr>
      <w:r>
        <w:rPr>
          <w:rFonts w:hint="eastAsia" w:ascii="宋体" w:hAnsi="宋体" w:eastAsia="宋体" w:cs="宋体"/>
          <w:sz w:val="24"/>
        </w:rPr>
        <w:t>各投标人：</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为保证本次采购项目的顺利进行,减少招投标过程中,由于投标文件制作不合格等原因导致贵单位投标文件为无效投标文件或废标现象的发生,请贵单位仔细阅读招标文件的每一条款,特别注意以下事项:</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请严格按照招标文件附件七规定的资格证明文件要求提供每一项证件（特别注意原件或复印件的要求），并严格审查证件的有效期、年检、经营期限、证件的签署的有效性等，漏缺一项证件或一项证件不合格将造成资格审查通不过，被判定为无效投标；招标文件要求提供的资格证明文件及其它业绩证明材料务必在投标截止时间前递交给采购人，投标截止时间以后，采购人将不再接受任何资格证明文件和其它证明材料。</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2、为防止意外情况的发生，请在招标文件规定的投标截止时间前将投标文件邮寄到我司，投标文件截止时间后递交的投标文件恕不受理。</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3、请认真阅读招标文件规定的供货期、付款方式、质保期等商务条款，制作投标文件时应作出响应或正偏离以上商务条款的承诺，不响应或负偏离的将导致废标。</w:t>
      </w:r>
    </w:p>
    <w:p>
      <w:pPr>
        <w:spacing w:line="460" w:lineRule="exact"/>
        <w:ind w:firstLine="480" w:firstLineChars="200"/>
        <w:rPr>
          <w:rFonts w:hint="eastAsia" w:ascii="宋体" w:hAnsi="宋体" w:eastAsia="宋体" w:cs="宋体"/>
          <w:sz w:val="24"/>
        </w:rPr>
      </w:pPr>
    </w:p>
    <w:p>
      <w:pPr>
        <w:spacing w:line="460" w:lineRule="exact"/>
        <w:ind w:firstLine="480" w:firstLineChars="200"/>
        <w:rPr>
          <w:rFonts w:hint="eastAsia" w:ascii="宋体" w:hAnsi="宋体" w:eastAsia="宋体" w:cs="宋体"/>
          <w:sz w:val="24"/>
        </w:rPr>
      </w:pP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谢谢合作！</w:t>
      </w:r>
    </w:p>
    <w:p>
      <w:pPr>
        <w:pStyle w:val="12"/>
        <w:rPr>
          <w:rFonts w:hint="eastAsia" w:ascii="宋体" w:hAnsi="宋体" w:eastAsia="宋体" w:cs="宋体"/>
          <w:bCs w:val="0"/>
          <w:sz w:val="36"/>
          <w:szCs w:val="36"/>
        </w:rPr>
      </w:pPr>
      <w:r>
        <w:rPr>
          <w:rFonts w:hint="eastAsia" w:ascii="宋体" w:hAnsi="宋体" w:eastAsia="宋体" w:cs="宋体"/>
          <w:b/>
          <w:sz w:val="44"/>
          <w:szCs w:val="44"/>
        </w:rPr>
        <w:br w:type="page"/>
      </w:r>
      <w:r>
        <w:rPr>
          <w:rFonts w:hint="eastAsia" w:ascii="宋体" w:hAnsi="宋体" w:eastAsia="宋体" w:cs="宋体"/>
          <w:bCs w:val="0"/>
          <w:sz w:val="36"/>
          <w:szCs w:val="36"/>
        </w:rPr>
        <w:t>第一部分  投标邀请书</w:t>
      </w:r>
    </w:p>
    <w:p>
      <w:pPr>
        <w:pStyle w:val="9"/>
        <w:spacing w:line="360" w:lineRule="auto"/>
        <w:ind w:firstLine="1106" w:firstLineChars="395"/>
        <w:rPr>
          <w:rFonts w:hint="eastAsia" w:ascii="宋体" w:hAnsi="宋体" w:eastAsia="宋体" w:cs="宋体"/>
          <w:sz w:val="28"/>
          <w:szCs w:val="28"/>
        </w:rPr>
      </w:pPr>
      <w:r>
        <w:rPr>
          <w:rFonts w:hint="eastAsia" w:ascii="宋体" w:hAnsi="宋体" w:eastAsia="宋体" w:cs="宋体"/>
          <w:sz w:val="28"/>
          <w:szCs w:val="28"/>
        </w:rPr>
        <w:t>山东金宝电子有限公司现就</w:t>
      </w:r>
      <w:r>
        <w:rPr>
          <w:rFonts w:hint="eastAsia" w:ascii="宋体" w:hAnsi="宋体" w:eastAsia="宋体" w:cs="宋体"/>
          <w:b w:val="0"/>
          <w:bCs w:val="0"/>
          <w:spacing w:val="10"/>
          <w:sz w:val="28"/>
          <w:szCs w:val="28"/>
          <w:highlight w:val="none"/>
          <w:u w:val="none"/>
        </w:rPr>
        <w:t>“</w:t>
      </w:r>
      <w:r>
        <w:rPr>
          <w:rFonts w:hint="eastAsia" w:hAnsi="宋体" w:cs="宋体"/>
          <w:b/>
          <w:sz w:val="32"/>
          <w:szCs w:val="32"/>
          <w:lang w:eastAsia="zh-CN"/>
        </w:rPr>
        <w:t>铜箔提升续建项目高低压配电柜、控制柜</w:t>
      </w:r>
      <w:r>
        <w:rPr>
          <w:rFonts w:hint="eastAsia" w:ascii="宋体" w:hAnsi="宋体" w:eastAsia="宋体" w:cs="宋体"/>
          <w:b/>
          <w:sz w:val="32"/>
          <w:szCs w:val="32"/>
          <w:highlight w:val="none"/>
        </w:rPr>
        <w:t>采购</w:t>
      </w:r>
      <w:r>
        <w:rPr>
          <w:rFonts w:hint="eastAsia" w:ascii="宋体" w:hAnsi="宋体" w:eastAsia="宋体" w:cs="宋体"/>
          <w:b w:val="0"/>
          <w:bCs w:val="0"/>
          <w:sz w:val="28"/>
          <w:szCs w:val="28"/>
          <w:highlight w:val="none"/>
          <w:u w:val="none"/>
        </w:rPr>
        <w:t>”项目</w:t>
      </w:r>
      <w:r>
        <w:rPr>
          <w:rFonts w:hint="eastAsia" w:ascii="宋体" w:hAnsi="宋体" w:eastAsia="宋体" w:cs="宋体"/>
          <w:sz w:val="28"/>
          <w:szCs w:val="28"/>
        </w:rPr>
        <w:t>进行招标采购。我公司本着公平、公正、公开的原则，邀请具有相关资质及履约能力的公司参加投标，具体事项如下：</w:t>
      </w:r>
    </w:p>
    <w:p>
      <w:pPr>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一、招标人：</w:t>
      </w:r>
      <w:r>
        <w:rPr>
          <w:rFonts w:hint="eastAsia" w:ascii="宋体" w:hAnsi="宋体" w:eastAsia="宋体" w:cs="宋体"/>
          <w:sz w:val="28"/>
          <w:szCs w:val="28"/>
        </w:rPr>
        <w:t>山东金宝电子有限公司</w:t>
      </w:r>
    </w:p>
    <w:p>
      <w:pPr>
        <w:pStyle w:val="9"/>
        <w:spacing w:line="360" w:lineRule="auto"/>
        <w:ind w:firstLine="562" w:firstLineChars="200"/>
        <w:rPr>
          <w:rFonts w:hint="eastAsia" w:ascii="宋体" w:hAnsi="宋体" w:eastAsia="宋体" w:cs="宋体"/>
          <w:b w:val="0"/>
          <w:bCs w:val="0"/>
          <w:sz w:val="32"/>
          <w:szCs w:val="32"/>
          <w:highlight w:val="none"/>
          <w:u w:val="none"/>
        </w:rPr>
      </w:pPr>
      <w:r>
        <w:rPr>
          <w:rFonts w:hint="eastAsia" w:ascii="宋体" w:hAnsi="宋体" w:eastAsia="宋体" w:cs="宋体"/>
          <w:b/>
          <w:bCs/>
          <w:sz w:val="28"/>
          <w:szCs w:val="28"/>
        </w:rPr>
        <w:t>二、项目名称：</w:t>
      </w:r>
      <w:r>
        <w:rPr>
          <w:rFonts w:hint="eastAsia" w:hAnsi="宋体" w:cs="宋体"/>
          <w:b/>
          <w:sz w:val="32"/>
          <w:szCs w:val="32"/>
          <w:lang w:eastAsia="zh-CN"/>
        </w:rPr>
        <w:t>铜箔提升续建项目高低压配电柜、控制柜</w:t>
      </w:r>
      <w:r>
        <w:rPr>
          <w:rFonts w:hint="eastAsia" w:ascii="宋体" w:hAnsi="宋体" w:eastAsia="宋体" w:cs="宋体"/>
          <w:b/>
          <w:sz w:val="32"/>
          <w:szCs w:val="32"/>
          <w:highlight w:val="none"/>
        </w:rPr>
        <w:t>采购</w:t>
      </w:r>
    </w:p>
    <w:p>
      <w:pPr>
        <w:pStyle w:val="9"/>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三、投标时间：</w:t>
      </w:r>
    </w:p>
    <w:p>
      <w:pPr>
        <w:spacing w:line="360" w:lineRule="auto"/>
        <w:ind w:firstLine="1120" w:firstLineChars="400"/>
        <w:rPr>
          <w:rFonts w:hint="default" w:ascii="宋体" w:hAnsi="宋体" w:cs="宋体"/>
          <w:b/>
          <w:color w:val="C00000"/>
          <w:sz w:val="28"/>
          <w:szCs w:val="28"/>
          <w:lang w:val="en-US" w:eastAsia="zh-CN"/>
        </w:rPr>
      </w:pPr>
      <w:r>
        <w:rPr>
          <w:rFonts w:hint="eastAsia" w:ascii="宋体" w:hAnsi="宋体" w:eastAsia="宋体" w:cs="宋体"/>
          <w:bCs/>
          <w:sz w:val="28"/>
          <w:szCs w:val="28"/>
        </w:rPr>
        <w:t xml:space="preserve">技术投标截止时间： </w:t>
      </w:r>
      <w:r>
        <w:rPr>
          <w:rFonts w:hint="eastAsia" w:ascii="宋体" w:hAnsi="宋体" w:eastAsia="宋体" w:cs="宋体"/>
          <w:b/>
          <w:color w:val="C00000"/>
          <w:sz w:val="28"/>
          <w:szCs w:val="28"/>
        </w:rPr>
        <w:t>202</w:t>
      </w:r>
      <w:r>
        <w:rPr>
          <w:rFonts w:hint="eastAsia" w:ascii="宋体" w:hAnsi="宋体" w:cs="宋体"/>
          <w:b/>
          <w:color w:val="C00000"/>
          <w:sz w:val="28"/>
          <w:szCs w:val="28"/>
          <w:lang w:val="en-US" w:eastAsia="zh-CN"/>
        </w:rPr>
        <w:t>2</w:t>
      </w:r>
      <w:r>
        <w:rPr>
          <w:rFonts w:hint="eastAsia" w:ascii="宋体" w:hAnsi="宋体" w:eastAsia="宋体" w:cs="宋体"/>
          <w:b/>
          <w:color w:val="C00000"/>
          <w:sz w:val="28"/>
          <w:szCs w:val="28"/>
        </w:rPr>
        <w:t>.</w:t>
      </w:r>
      <w:r>
        <w:rPr>
          <w:rFonts w:hint="eastAsia" w:ascii="宋体" w:hAnsi="宋体" w:cs="宋体"/>
          <w:b/>
          <w:color w:val="C00000"/>
          <w:sz w:val="28"/>
          <w:szCs w:val="28"/>
          <w:lang w:val="en-US" w:eastAsia="zh-CN"/>
        </w:rPr>
        <w:t>12.05</w:t>
      </w:r>
    </w:p>
    <w:p>
      <w:pPr>
        <w:spacing w:line="360" w:lineRule="auto"/>
        <w:ind w:firstLine="1120" w:firstLineChars="4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商务投标截止时间： </w:t>
      </w:r>
      <w:r>
        <w:rPr>
          <w:rFonts w:hint="eastAsia" w:ascii="宋体" w:hAnsi="宋体" w:eastAsia="宋体" w:cs="宋体"/>
          <w:b/>
          <w:color w:val="C00000"/>
          <w:sz w:val="28"/>
          <w:szCs w:val="28"/>
        </w:rPr>
        <w:t>202</w:t>
      </w:r>
      <w:r>
        <w:rPr>
          <w:rFonts w:hint="eastAsia" w:ascii="宋体" w:hAnsi="宋体" w:cs="宋体"/>
          <w:b/>
          <w:color w:val="C00000"/>
          <w:sz w:val="28"/>
          <w:szCs w:val="28"/>
          <w:lang w:val="en-US" w:eastAsia="zh-CN"/>
        </w:rPr>
        <w:t>2</w:t>
      </w:r>
      <w:r>
        <w:rPr>
          <w:rFonts w:hint="eastAsia" w:ascii="宋体" w:hAnsi="宋体" w:eastAsia="宋体" w:cs="宋体"/>
          <w:b/>
          <w:color w:val="C00000"/>
          <w:sz w:val="28"/>
          <w:szCs w:val="28"/>
        </w:rPr>
        <w:t>.</w:t>
      </w:r>
      <w:r>
        <w:rPr>
          <w:rFonts w:hint="default" w:ascii="宋体" w:hAnsi="宋体" w:cs="宋体"/>
          <w:b/>
          <w:color w:val="C00000"/>
          <w:sz w:val="28"/>
          <w:szCs w:val="28"/>
          <w:lang w:val="en-US" w:eastAsia="zh-CN"/>
        </w:rPr>
        <w:t>12.</w:t>
      </w:r>
      <w:r>
        <w:rPr>
          <w:rFonts w:hint="eastAsia" w:ascii="宋体" w:hAnsi="宋体" w:cs="宋体"/>
          <w:b/>
          <w:color w:val="C00000"/>
          <w:sz w:val="28"/>
          <w:szCs w:val="28"/>
          <w:lang w:val="en-US" w:eastAsia="zh-CN"/>
        </w:rPr>
        <w:t>07</w:t>
      </w:r>
    </w:p>
    <w:p>
      <w:pPr>
        <w:spacing w:line="360" w:lineRule="auto"/>
        <w:ind w:right="70" w:firstLine="562" w:firstLineChars="200"/>
        <w:rPr>
          <w:rFonts w:hint="default" w:ascii="宋体" w:hAnsi="宋体" w:eastAsia="宋体" w:cs="宋体"/>
          <w:sz w:val="28"/>
          <w:szCs w:val="28"/>
          <w:lang w:val="en-US" w:eastAsia="zh-CN"/>
        </w:rPr>
      </w:pPr>
      <w:r>
        <w:rPr>
          <w:rFonts w:hint="eastAsia" w:ascii="宋体" w:hAnsi="宋体" w:eastAsia="宋体" w:cs="宋体"/>
          <w:b/>
          <w:bCs/>
          <w:sz w:val="28"/>
          <w:szCs w:val="28"/>
        </w:rPr>
        <w:t xml:space="preserve">四、技术联系人： </w:t>
      </w:r>
      <w:r>
        <w:rPr>
          <w:rFonts w:hint="eastAsia" w:ascii="宋体" w:hAnsi="宋体" w:cs="宋体"/>
          <w:b/>
          <w:bCs/>
          <w:sz w:val="28"/>
          <w:szCs w:val="28"/>
          <w:lang w:eastAsia="zh-CN"/>
        </w:rPr>
        <w:t>赵金波</w:t>
      </w:r>
      <w:r>
        <w:rPr>
          <w:rFonts w:hint="eastAsia" w:ascii="宋体" w:hAnsi="宋体" w:cs="宋体"/>
          <w:b/>
          <w:bCs/>
          <w:sz w:val="28"/>
          <w:szCs w:val="28"/>
          <w:lang w:val="en-US" w:eastAsia="zh-CN"/>
        </w:rPr>
        <w:t xml:space="preserve">  李爱国</w:t>
      </w:r>
    </w:p>
    <w:p>
      <w:pPr>
        <w:tabs>
          <w:tab w:val="left" w:pos="6191"/>
        </w:tabs>
        <w:spacing w:line="360" w:lineRule="auto"/>
        <w:ind w:right="70" w:firstLine="1124" w:firstLineChars="400"/>
        <w:rPr>
          <w:rFonts w:hint="eastAsia" w:ascii="宋体" w:hAnsi="宋体" w:eastAsia="宋体" w:cs="宋体"/>
          <w:sz w:val="28"/>
          <w:szCs w:val="28"/>
        </w:rPr>
      </w:pPr>
      <w:r>
        <w:rPr>
          <w:rFonts w:hint="eastAsia" w:ascii="宋体" w:hAnsi="宋体" w:eastAsia="宋体" w:cs="宋体"/>
          <w:b/>
          <w:bCs/>
          <w:sz w:val="28"/>
          <w:szCs w:val="28"/>
        </w:rPr>
        <w:t>联系方式：</w:t>
      </w:r>
      <w:r>
        <w:rPr>
          <w:rFonts w:hint="eastAsia" w:ascii="宋体" w:hAnsi="宋体" w:eastAsia="宋体" w:cs="宋体"/>
          <w:sz w:val="28"/>
          <w:szCs w:val="28"/>
        </w:rPr>
        <w:t xml:space="preserve"> </w:t>
      </w:r>
      <w:r>
        <w:rPr>
          <w:rFonts w:hint="eastAsia" w:ascii="宋体" w:hAnsi="宋体" w:cs="宋体"/>
          <w:sz w:val="28"/>
          <w:szCs w:val="28"/>
          <w:lang w:val="en-US" w:eastAsia="zh-CN"/>
        </w:rPr>
        <w:t>13153532152  13081620522</w:t>
      </w:r>
      <w:r>
        <w:rPr>
          <w:rFonts w:hint="eastAsia" w:ascii="宋体" w:hAnsi="宋体" w:eastAsia="宋体" w:cs="宋体"/>
          <w:sz w:val="28"/>
          <w:szCs w:val="28"/>
        </w:rPr>
        <w:tab/>
      </w:r>
    </w:p>
    <w:p>
      <w:pPr>
        <w:spacing w:line="360" w:lineRule="auto"/>
        <w:ind w:right="70" w:firstLine="1124" w:firstLineChars="400"/>
        <w:rPr>
          <w:rFonts w:hint="eastAsia" w:ascii="宋体" w:hAnsi="宋体" w:eastAsia="宋体" w:cs="宋体"/>
          <w:b/>
          <w:bCs/>
          <w:sz w:val="28"/>
          <w:szCs w:val="28"/>
        </w:rPr>
      </w:pPr>
      <w:r>
        <w:rPr>
          <w:rFonts w:hint="eastAsia" w:ascii="宋体" w:hAnsi="宋体" w:eastAsia="宋体" w:cs="宋体"/>
          <w:b/>
          <w:bCs/>
          <w:sz w:val="28"/>
          <w:szCs w:val="28"/>
        </w:rPr>
        <w:t>邮    箱：</w:t>
      </w:r>
      <w:r>
        <w:rPr>
          <w:rFonts w:hint="eastAsia" w:ascii="宋体" w:hAnsi="宋体" w:eastAsia="宋体" w:cs="宋体"/>
          <w:sz w:val="28"/>
          <w:szCs w:val="28"/>
        </w:rPr>
        <w:t xml:space="preserve"> </w:t>
      </w:r>
      <w:r>
        <w:rPr>
          <w:rFonts w:hint="eastAsia" w:ascii="宋体" w:hAnsi="宋体" w:cs="宋体"/>
          <w:sz w:val="28"/>
          <w:szCs w:val="28"/>
          <w:lang w:val="en-US" w:eastAsia="zh-CN"/>
        </w:rPr>
        <w:t>13153532152</w:t>
      </w:r>
      <w:r>
        <w:rPr>
          <w:rFonts w:hint="eastAsia" w:ascii="宋体" w:hAnsi="宋体" w:eastAsia="宋体" w:cs="宋体"/>
          <w:sz w:val="28"/>
          <w:szCs w:val="28"/>
        </w:rPr>
        <w:t>@163.com</w:t>
      </w:r>
    </w:p>
    <w:p>
      <w:pPr>
        <w:spacing w:line="360" w:lineRule="auto"/>
        <w:ind w:right="70" w:firstLine="562" w:firstLineChars="200"/>
        <w:rPr>
          <w:rFonts w:hint="eastAsia" w:ascii="宋体" w:hAnsi="宋体" w:eastAsia="宋体" w:cs="宋体"/>
          <w:b/>
          <w:sz w:val="28"/>
          <w:szCs w:val="28"/>
          <w:lang w:val="en-US" w:eastAsia="zh-CN"/>
        </w:rPr>
      </w:pPr>
      <w:r>
        <w:rPr>
          <w:rFonts w:hint="eastAsia" w:ascii="宋体" w:hAnsi="宋体" w:eastAsia="宋体" w:cs="宋体"/>
          <w:b/>
          <w:bCs/>
          <w:sz w:val="28"/>
          <w:szCs w:val="28"/>
        </w:rPr>
        <w:t>五、</w:t>
      </w:r>
      <w:r>
        <w:rPr>
          <w:rFonts w:hint="eastAsia" w:ascii="宋体" w:hAnsi="宋体" w:eastAsia="宋体" w:cs="宋体"/>
          <w:b/>
          <w:sz w:val="28"/>
          <w:szCs w:val="28"/>
        </w:rPr>
        <w:t>商务联系人：</w:t>
      </w:r>
      <w:r>
        <w:rPr>
          <w:rFonts w:hint="eastAsia" w:ascii="宋体" w:hAnsi="宋体" w:eastAsia="宋体" w:cs="宋体"/>
          <w:b/>
          <w:sz w:val="28"/>
          <w:szCs w:val="28"/>
          <w:lang w:eastAsia="zh-CN"/>
        </w:rPr>
        <w:t>徐海峰</w:t>
      </w:r>
    </w:p>
    <w:p>
      <w:pPr>
        <w:spacing w:line="360" w:lineRule="auto"/>
        <w:ind w:right="70" w:firstLine="560" w:firstLineChars="200"/>
        <w:rPr>
          <w:rFonts w:hint="eastAsia" w:ascii="宋体" w:hAnsi="宋体" w:eastAsia="宋体" w:cs="宋体"/>
          <w:b/>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b/>
          <w:sz w:val="28"/>
          <w:szCs w:val="28"/>
        </w:rPr>
        <w:t>联系电话：</w:t>
      </w:r>
      <w:r>
        <w:rPr>
          <w:rFonts w:hint="eastAsia" w:ascii="宋体" w:hAnsi="宋体" w:eastAsia="宋体" w:cs="宋体"/>
          <w:b/>
          <w:sz w:val="28"/>
          <w:szCs w:val="28"/>
          <w:lang w:val="en-US" w:eastAsia="zh-CN"/>
        </w:rPr>
        <w:t>15336385008</w:t>
      </w:r>
    </w:p>
    <w:p>
      <w:pPr>
        <w:spacing w:line="360" w:lineRule="auto"/>
        <w:ind w:right="70" w:firstLine="562" w:firstLineChars="200"/>
        <w:rPr>
          <w:rFonts w:hint="eastAsia"/>
          <w:lang w:val="en-US" w:eastAsia="zh-CN"/>
        </w:rPr>
      </w:pPr>
      <w:r>
        <w:rPr>
          <w:rFonts w:hint="eastAsia" w:ascii="宋体" w:hAnsi="宋体" w:eastAsia="宋体" w:cs="宋体"/>
          <w:b/>
          <w:bCs/>
          <w:sz w:val="28"/>
          <w:szCs w:val="28"/>
        </w:rPr>
        <w:t>六、投标地点：</w:t>
      </w:r>
      <w:r>
        <w:rPr>
          <w:rFonts w:hint="eastAsia" w:ascii="宋体" w:hAnsi="宋体" w:eastAsia="宋体" w:cs="宋体"/>
          <w:sz w:val="28"/>
          <w:szCs w:val="28"/>
        </w:rPr>
        <w:t>招远市国大路268号</w:t>
      </w:r>
      <w:r>
        <w:rPr>
          <w:rFonts w:hint="eastAsia" w:ascii="宋体" w:hAnsi="宋体" w:eastAsia="宋体" w:cs="宋体"/>
          <w:sz w:val="28"/>
          <w:szCs w:val="28"/>
          <w:lang w:val="en-US" w:eastAsia="zh-CN"/>
        </w:rPr>
        <w:t>106室</w:t>
      </w:r>
    </w:p>
    <w:p>
      <w:pPr>
        <w:spacing w:line="360" w:lineRule="auto"/>
        <w:ind w:right="70" w:firstLine="562" w:firstLineChars="200"/>
        <w:rPr>
          <w:rFonts w:hint="eastAsia" w:ascii="宋体" w:hAnsi="宋体" w:eastAsia="宋体" w:cs="宋体"/>
          <w:sz w:val="28"/>
          <w:szCs w:val="28"/>
        </w:rPr>
      </w:pPr>
      <w:bookmarkStart w:id="372" w:name="_GoBack"/>
      <w:bookmarkEnd w:id="372"/>
      <w:r>
        <w:rPr>
          <w:rFonts w:hint="eastAsia" w:ascii="宋体" w:hAnsi="宋体" w:eastAsia="宋体" w:cs="宋体"/>
          <w:b/>
          <w:bCs/>
          <w:sz w:val="28"/>
          <w:szCs w:val="28"/>
        </w:rPr>
        <w:t>七、投标保证金</w:t>
      </w:r>
      <w:r>
        <w:rPr>
          <w:rFonts w:hint="eastAsia" w:ascii="宋体" w:hAnsi="宋体" w:eastAsia="宋体" w:cs="宋体"/>
          <w:sz w:val="28"/>
          <w:szCs w:val="28"/>
        </w:rPr>
        <w:t>：</w:t>
      </w:r>
      <w:r>
        <w:rPr>
          <w:rFonts w:hint="default" w:ascii="宋体" w:hAnsi="宋体" w:cs="宋体"/>
          <w:sz w:val="28"/>
          <w:szCs w:val="28"/>
          <w:lang w:val="en-US" w:eastAsia="zh-CN"/>
        </w:rPr>
        <w:t xml:space="preserve"> </w:t>
      </w:r>
      <w:r>
        <w:rPr>
          <w:rFonts w:hint="eastAsia" w:ascii="宋体" w:hAnsi="宋体" w:cs="宋体"/>
          <w:b/>
          <w:bCs/>
          <w:color w:val="FF0000"/>
          <w:sz w:val="28"/>
          <w:szCs w:val="28"/>
          <w:lang w:val="en-US" w:eastAsia="zh-CN"/>
        </w:rPr>
        <w:t>4万</w:t>
      </w:r>
      <w:r>
        <w:rPr>
          <w:rFonts w:hint="eastAsia" w:ascii="宋体" w:hAnsi="宋体" w:eastAsia="宋体" w:cs="宋体"/>
          <w:b/>
          <w:bCs/>
          <w:color w:val="FF0000"/>
          <w:sz w:val="28"/>
          <w:szCs w:val="28"/>
        </w:rPr>
        <w:t>元</w:t>
      </w:r>
    </w:p>
    <w:p>
      <w:pPr>
        <w:spacing w:line="360" w:lineRule="auto"/>
        <w:ind w:right="70" w:firstLine="560" w:firstLineChars="200"/>
        <w:rPr>
          <w:rFonts w:hint="eastAsia" w:ascii="宋体" w:hAnsi="宋体" w:eastAsia="宋体" w:cs="宋体"/>
          <w:sz w:val="28"/>
          <w:szCs w:val="28"/>
        </w:rPr>
      </w:pPr>
      <w:r>
        <w:rPr>
          <w:rFonts w:hint="eastAsia" w:ascii="宋体" w:hAnsi="宋体" w:cs="宋体"/>
          <w:sz w:val="28"/>
          <w:szCs w:val="28"/>
          <w:lang w:eastAsia="zh-CN"/>
        </w:rPr>
        <w:t>请在</w:t>
      </w:r>
      <w:r>
        <w:rPr>
          <w:rFonts w:hint="eastAsia" w:ascii="宋体" w:hAnsi="宋体" w:cs="宋体"/>
          <w:sz w:val="28"/>
          <w:szCs w:val="28"/>
          <w:lang w:val="en-US" w:eastAsia="zh-CN"/>
        </w:rPr>
        <w:t>12月08日前将投标保证金</w:t>
      </w:r>
      <w:r>
        <w:rPr>
          <w:rFonts w:hint="eastAsia" w:ascii="宋体" w:hAnsi="宋体" w:eastAsia="宋体" w:cs="宋体"/>
          <w:sz w:val="28"/>
          <w:szCs w:val="28"/>
          <w:lang w:eastAsia="zh-CN"/>
        </w:rPr>
        <w:t>汇款</w:t>
      </w:r>
      <w:r>
        <w:rPr>
          <w:rFonts w:hint="eastAsia" w:ascii="宋体" w:hAnsi="宋体" w:eastAsia="宋体" w:cs="宋体"/>
          <w:sz w:val="28"/>
          <w:szCs w:val="28"/>
        </w:rPr>
        <w:t>底单发给商务联系人。</w:t>
      </w:r>
    </w:p>
    <w:p>
      <w:p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汇款资料：</w:t>
      </w:r>
    </w:p>
    <w:p>
      <w:pPr>
        <w:spacing w:line="360" w:lineRule="auto"/>
        <w:ind w:firstLine="840" w:firstLineChars="3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宝电子有限公司</w:t>
      </w:r>
    </w:p>
    <w:p>
      <w:pPr>
        <w:spacing w:line="360" w:lineRule="auto"/>
        <w:ind w:firstLine="840" w:firstLineChars="3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840" w:firstLineChars="3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开标需要先进行技术投标，确定技术方案，再进行商务投标，未确定技术方案的开标需要先进行技术投标，确定技术方案，再进行商务投标，未确定技术方案的商务投标，开标时一律作废。</w:t>
      </w:r>
    </w:p>
    <w:p>
      <w:pPr>
        <w:spacing w:line="360" w:lineRule="auto"/>
        <w:ind w:right="70" w:firstLine="560" w:firstLineChars="200"/>
        <w:rPr>
          <w:rFonts w:hint="eastAsia" w:ascii="宋体" w:hAnsi="宋体" w:eastAsia="宋体" w:cs="宋体"/>
          <w:sz w:val="28"/>
          <w:szCs w:val="28"/>
          <w:u w:val="single"/>
        </w:rPr>
      </w:pP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cs="宋体"/>
          <w:b w:val="0"/>
          <w:bCs w:val="0"/>
          <w:sz w:val="28"/>
          <w:szCs w:val="28"/>
          <w:lang w:eastAsia="zh-CN"/>
        </w:rPr>
        <w:t>赵金波、李爱国</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eastAsia="宋体" w:cs="宋体"/>
          <w:b w:val="0"/>
          <w:bCs w:val="0"/>
          <w:color w:val="auto"/>
          <w:sz w:val="28"/>
          <w:szCs w:val="28"/>
          <w:highlight w:val="none"/>
          <w:lang w:eastAsia="zh-CN"/>
        </w:rPr>
        <w:t>徐海峰</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r>
        <w:rPr>
          <w:rFonts w:hint="eastAsia" w:ascii="宋体" w:hAnsi="宋体" w:cs="宋体"/>
          <w:color w:val="auto"/>
          <w:sz w:val="28"/>
          <w:szCs w:val="28"/>
          <w:highlight w:val="none"/>
          <w:lang w:eastAsia="zh-CN"/>
        </w:rPr>
        <w:t>。</w:t>
      </w:r>
    </w:p>
    <w:p>
      <w:pPr>
        <w:spacing w:line="620" w:lineRule="exact"/>
        <w:ind w:right="70"/>
        <w:jc w:val="cente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rPr>
      </w:pPr>
    </w:p>
    <w:p>
      <w:pPr>
        <w:spacing w:line="620" w:lineRule="exact"/>
        <w:ind w:right="70"/>
        <w:jc w:val="center"/>
        <w:rPr>
          <w:rFonts w:hint="eastAsia" w:ascii="宋体" w:hAnsi="宋体" w:eastAsia="宋体" w:cs="宋体"/>
          <w:sz w:val="36"/>
          <w:szCs w:val="36"/>
        </w:rPr>
      </w:pPr>
    </w:p>
    <w:p>
      <w:pPr>
        <w:spacing w:line="620" w:lineRule="exact"/>
        <w:ind w:right="70"/>
        <w:jc w:val="center"/>
        <w:rPr>
          <w:rFonts w:hint="eastAsia" w:ascii="宋体" w:hAnsi="宋体" w:eastAsia="宋体" w:cs="宋体"/>
          <w:sz w:val="36"/>
          <w:szCs w:val="36"/>
        </w:rPr>
      </w:pPr>
    </w:p>
    <w:p>
      <w:pPr>
        <w:spacing w:line="620" w:lineRule="exact"/>
        <w:ind w:right="70"/>
        <w:jc w:val="center"/>
        <w:rPr>
          <w:rFonts w:hint="eastAsia" w:ascii="宋体" w:hAnsi="宋体" w:eastAsia="宋体" w:cs="宋体"/>
          <w:sz w:val="36"/>
          <w:szCs w:val="36"/>
        </w:rPr>
      </w:pPr>
    </w:p>
    <w:p>
      <w:pPr>
        <w:spacing w:line="620" w:lineRule="exact"/>
        <w:ind w:right="70"/>
        <w:jc w:val="center"/>
        <w:rPr>
          <w:rFonts w:hint="eastAsia" w:ascii="宋体" w:hAnsi="宋体" w:eastAsia="宋体" w:cs="宋体"/>
          <w:sz w:val="36"/>
          <w:szCs w:val="36"/>
        </w:rPr>
      </w:pPr>
    </w:p>
    <w:p>
      <w:pPr>
        <w:spacing w:line="620" w:lineRule="exact"/>
        <w:ind w:right="70"/>
        <w:jc w:val="center"/>
        <w:rPr>
          <w:rFonts w:hint="eastAsia" w:ascii="宋体" w:hAnsi="宋体" w:eastAsia="宋体" w:cs="宋体"/>
          <w:sz w:val="36"/>
          <w:szCs w:val="36"/>
        </w:rPr>
      </w:pPr>
      <w:r>
        <w:rPr>
          <w:rFonts w:hint="eastAsia" w:ascii="宋体" w:hAnsi="宋体" w:eastAsia="宋体" w:cs="宋体"/>
          <w:sz w:val="36"/>
          <w:szCs w:val="36"/>
        </w:rPr>
        <w:t>第二部分  付款及工期要求</w:t>
      </w:r>
    </w:p>
    <w:p>
      <w:pPr>
        <w:spacing w:line="620" w:lineRule="exact"/>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一、付款要求</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1.付款形式：电子承兑</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2.付款方式：</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方式一：①到货款40%；②安装完成款20%；③验收合格款30%；④质保金10%（按装完成验收合格一年后付清）</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方式二：①预付款30%；②安装完成款30%；③验收合格款30%；④质保金10%（按装完成验收合格一年后付清）</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预付款，需开具同等金额银行履约保函后才能付款。</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方式三：比上述两者更优越的付款条件。</w:t>
      </w:r>
    </w:p>
    <w:p>
      <w:pPr>
        <w:numPr>
          <w:ilvl w:val="0"/>
          <w:numId w:val="1"/>
        </w:numPr>
        <w:spacing w:line="620" w:lineRule="exact"/>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工期</w:t>
      </w:r>
      <w:r>
        <w:rPr>
          <w:rFonts w:hint="eastAsia" w:ascii="宋体" w:hAnsi="宋体" w:cs="宋体"/>
          <w:b/>
          <w:bCs/>
          <w:sz w:val="28"/>
          <w:szCs w:val="28"/>
          <w:lang w:eastAsia="zh-CN"/>
        </w:rPr>
        <w:t>及其他</w:t>
      </w:r>
      <w:r>
        <w:rPr>
          <w:rFonts w:hint="eastAsia" w:ascii="宋体" w:hAnsi="宋体" w:eastAsia="宋体" w:cs="宋体"/>
          <w:b/>
          <w:bCs/>
          <w:sz w:val="28"/>
          <w:szCs w:val="28"/>
        </w:rPr>
        <w:t>要求</w:t>
      </w:r>
    </w:p>
    <w:p>
      <w:pPr>
        <w:pStyle w:val="16"/>
        <w:spacing w:line="620" w:lineRule="exact"/>
        <w:ind w:left="642" w:right="70" w:firstLine="0" w:firstLineChars="0"/>
        <w:rPr>
          <w:rFonts w:hint="eastAsia" w:ascii="宋体" w:hAnsi="宋体" w:eastAsia="宋体" w:cs="宋体"/>
          <w:sz w:val="28"/>
          <w:szCs w:val="28"/>
          <w:lang w:eastAsia="zh-CN"/>
        </w:rPr>
      </w:pPr>
      <w:r>
        <w:rPr>
          <w:rFonts w:hint="eastAsia" w:ascii="宋体" w:hAnsi="宋体" w:eastAsia="宋体" w:cs="宋体"/>
          <w:sz w:val="28"/>
          <w:szCs w:val="28"/>
        </w:rPr>
        <w:t>1.交货日期：202</w:t>
      </w:r>
      <w:r>
        <w:rPr>
          <w:rFonts w:hint="eastAsia" w:ascii="宋体" w:hAnsi="宋体" w:cs="宋体"/>
          <w:sz w:val="28"/>
          <w:szCs w:val="28"/>
          <w:lang w:val="en-US" w:eastAsia="zh-CN"/>
        </w:rPr>
        <w:t>3年1月20</w:t>
      </w:r>
      <w:r>
        <w:rPr>
          <w:rFonts w:hint="eastAsia" w:ascii="宋体" w:hAnsi="宋体" w:eastAsia="宋体" w:cs="宋体"/>
          <w:sz w:val="28"/>
          <w:szCs w:val="28"/>
        </w:rPr>
        <w:t>日前完成</w:t>
      </w:r>
      <w:r>
        <w:rPr>
          <w:rFonts w:hint="eastAsia" w:ascii="宋体" w:hAnsi="宋体" w:cs="宋体"/>
          <w:sz w:val="28"/>
          <w:szCs w:val="28"/>
          <w:lang w:eastAsia="zh-CN"/>
        </w:rPr>
        <w:t>全部</w:t>
      </w:r>
      <w:r>
        <w:rPr>
          <w:rFonts w:hint="eastAsia" w:ascii="宋体" w:hAnsi="宋体" w:eastAsia="宋体" w:cs="宋体"/>
          <w:sz w:val="28"/>
          <w:szCs w:val="28"/>
        </w:rPr>
        <w:t>交货</w:t>
      </w:r>
      <w:r>
        <w:rPr>
          <w:rFonts w:hint="eastAsia" w:ascii="宋体" w:hAnsi="宋体" w:cs="宋体"/>
          <w:sz w:val="28"/>
          <w:szCs w:val="28"/>
          <w:lang w:eastAsia="zh-CN"/>
        </w:rPr>
        <w:t>。</w:t>
      </w:r>
    </w:p>
    <w:p>
      <w:pPr>
        <w:pStyle w:val="16"/>
        <w:spacing w:line="620" w:lineRule="exact"/>
        <w:ind w:left="642" w:right="70" w:firstLine="0" w:firstLineChars="0"/>
        <w:rPr>
          <w:rFonts w:hint="eastAsia" w:ascii="宋体" w:hAnsi="宋体" w:eastAsia="宋体" w:cs="宋体"/>
          <w:sz w:val="28"/>
          <w:szCs w:val="28"/>
          <w:lang w:eastAsia="zh-CN"/>
        </w:rPr>
      </w:pPr>
      <w:r>
        <w:rPr>
          <w:rFonts w:hint="eastAsia" w:ascii="宋体" w:hAnsi="宋体" w:eastAsia="宋体" w:cs="宋体"/>
          <w:sz w:val="28"/>
          <w:szCs w:val="28"/>
        </w:rPr>
        <w:t>2.质保期：至投产验收合格之日起1年</w:t>
      </w:r>
      <w:r>
        <w:rPr>
          <w:rFonts w:hint="eastAsia" w:ascii="宋体" w:hAnsi="宋体" w:cs="宋体"/>
          <w:sz w:val="28"/>
          <w:szCs w:val="28"/>
          <w:lang w:eastAsia="zh-CN"/>
        </w:rPr>
        <w:t>。</w:t>
      </w:r>
    </w:p>
    <w:p>
      <w:pPr>
        <w:pStyle w:val="16"/>
        <w:spacing w:line="620" w:lineRule="exact"/>
        <w:ind w:left="642" w:right="70" w:firstLine="0" w:firstLineChars="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.交货地点：招远市</w:t>
      </w:r>
      <w:r>
        <w:rPr>
          <w:rFonts w:hint="eastAsia" w:ascii="宋体" w:hAnsi="宋体" w:cs="宋体"/>
          <w:sz w:val="28"/>
          <w:szCs w:val="28"/>
          <w:highlight w:val="none"/>
          <w:lang w:eastAsia="zh-CN"/>
        </w:rPr>
        <w:t>开发区金晖路</w:t>
      </w:r>
      <w:r>
        <w:rPr>
          <w:rFonts w:hint="eastAsia" w:ascii="宋体" w:hAnsi="宋体" w:cs="宋体"/>
          <w:sz w:val="28"/>
          <w:szCs w:val="28"/>
          <w:highlight w:val="none"/>
          <w:lang w:val="en-US" w:eastAsia="zh-CN"/>
        </w:rPr>
        <w:t>229</w:t>
      </w:r>
      <w:r>
        <w:rPr>
          <w:rFonts w:hint="eastAsia" w:ascii="宋体" w:hAnsi="宋体" w:eastAsia="宋体" w:cs="宋体"/>
          <w:sz w:val="28"/>
          <w:szCs w:val="28"/>
          <w:highlight w:val="none"/>
        </w:rPr>
        <w:t>号。</w:t>
      </w:r>
    </w:p>
    <w:p>
      <w:pPr>
        <w:pStyle w:val="16"/>
        <w:spacing w:line="620" w:lineRule="exact"/>
        <w:ind w:left="642" w:right="70"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三、报价方式：</w:t>
      </w:r>
    </w:p>
    <w:p>
      <w:pPr>
        <w:spacing w:line="620" w:lineRule="exact"/>
        <w:ind w:right="70"/>
        <w:rPr>
          <w:rFonts w:hint="eastAsia" w:ascii="宋体" w:hAnsi="宋体" w:eastAsia="宋体" w:cs="宋体"/>
          <w:b/>
          <w:bCs/>
          <w:sz w:val="28"/>
          <w:szCs w:val="28"/>
          <w:lang w:eastAsia="zh-CN"/>
        </w:rPr>
      </w:pPr>
      <w:r>
        <w:rPr>
          <w:rFonts w:hint="eastAsia" w:ascii="宋体" w:hAnsi="宋体" w:eastAsia="宋体" w:cs="宋体"/>
          <w:b/>
          <w:bCs/>
          <w:sz w:val="28"/>
          <w:szCs w:val="28"/>
        </w:rPr>
        <w:t xml:space="preserve">      请严格按照《工程量清单》中规定的品牌、数量及格式报价</w:t>
      </w:r>
      <w:r>
        <w:rPr>
          <w:rFonts w:hint="eastAsia" w:ascii="宋体" w:hAnsi="宋体" w:cs="宋体"/>
          <w:b/>
          <w:bCs/>
          <w:sz w:val="28"/>
          <w:szCs w:val="28"/>
          <w:lang w:eastAsia="zh-CN"/>
        </w:rPr>
        <w:t>。单价以双方招标时最终议价为准。</w:t>
      </w:r>
    </w:p>
    <w:p>
      <w:pPr>
        <w:pStyle w:val="2"/>
        <w:ind w:firstLine="0" w:firstLineChars="0"/>
        <w:rPr>
          <w:rFonts w:hint="eastAsia" w:ascii="宋体" w:hAnsi="宋体" w:eastAsia="宋体" w:cs="宋体"/>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rPr>
      </w:pPr>
      <w:r>
        <w:rPr>
          <w:rFonts w:hint="eastAsia" w:ascii="宋体" w:hAnsi="宋体" w:eastAsia="宋体" w:cs="宋体"/>
          <w:b/>
          <w:sz w:val="32"/>
          <w:szCs w:val="32"/>
        </w:rPr>
        <w:t>第三部分  采购内容及技术要求</w:t>
      </w:r>
      <w:bookmarkEnd w:id="0"/>
    </w:p>
    <w:p>
      <w:pPr>
        <w:spacing w:line="360" w:lineRule="auto"/>
        <w:rPr>
          <w:rFonts w:hint="eastAsia" w:ascii="宋体" w:hAnsi="宋体" w:eastAsia="宋体" w:cs="宋体"/>
          <w:b/>
          <w:sz w:val="24"/>
          <w:szCs w:val="24"/>
        </w:rPr>
      </w:pPr>
      <w:r>
        <w:rPr>
          <w:rFonts w:hint="eastAsia" w:ascii="宋体" w:hAnsi="宋体" w:eastAsia="宋体" w:cs="宋体"/>
          <w:b/>
          <w:sz w:val="24"/>
          <w:szCs w:val="24"/>
        </w:rPr>
        <w:t>一、工程范围</w:t>
      </w:r>
    </w:p>
    <w:p>
      <w:pPr>
        <w:spacing w:line="360" w:lineRule="auto"/>
        <w:rPr>
          <w:rFonts w:hint="eastAsia" w:ascii="宋体" w:hAnsi="宋体" w:eastAsia="宋体" w:cs="宋体"/>
        </w:rPr>
      </w:pPr>
    </w:p>
    <w:p>
      <w:pPr>
        <w:numPr>
          <w:ilvl w:val="0"/>
          <w:numId w:val="2"/>
        </w:numPr>
        <w:spacing w:line="360" w:lineRule="auto"/>
        <w:rPr>
          <w:rFonts w:hint="eastAsia" w:ascii="宋体" w:hAnsi="宋体" w:cs="宋体"/>
          <w:sz w:val="24"/>
          <w:szCs w:val="24"/>
          <w:lang w:eastAsia="zh-CN"/>
        </w:rPr>
      </w:pPr>
      <w:r>
        <w:rPr>
          <w:rFonts w:hint="eastAsia" w:ascii="宋体" w:hAnsi="宋体" w:cs="宋体"/>
          <w:sz w:val="24"/>
          <w:szCs w:val="24"/>
          <w:lang w:eastAsia="zh-CN"/>
        </w:rPr>
        <w:t>高、低压</w:t>
      </w:r>
      <w:r>
        <w:rPr>
          <w:rFonts w:hint="eastAsia" w:ascii="宋体" w:hAnsi="宋体" w:eastAsia="宋体" w:cs="宋体"/>
          <w:sz w:val="24"/>
          <w:szCs w:val="24"/>
        </w:rPr>
        <w:t>开关柜、出线柜</w:t>
      </w:r>
      <w:r>
        <w:rPr>
          <w:rFonts w:hint="eastAsia" w:ascii="宋体" w:hAnsi="宋体" w:cs="宋体"/>
          <w:sz w:val="24"/>
          <w:szCs w:val="24"/>
          <w:lang w:eastAsia="zh-CN"/>
        </w:rPr>
        <w:t>、控制柜采购</w:t>
      </w:r>
    </w:p>
    <w:p>
      <w:pPr>
        <w:numPr>
          <w:ilvl w:val="0"/>
          <w:numId w:val="2"/>
        </w:num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二、供货明细</w:t>
      </w:r>
    </w:p>
    <w:tbl>
      <w:tblPr>
        <w:tblStyle w:val="13"/>
        <w:tblW w:w="5213" w:type="pct"/>
        <w:tblInd w:w="-98" w:type="dxa"/>
        <w:tblLayout w:type="fixed"/>
        <w:tblCellMar>
          <w:top w:w="0" w:type="dxa"/>
          <w:left w:w="108" w:type="dxa"/>
          <w:bottom w:w="0" w:type="dxa"/>
          <w:right w:w="108" w:type="dxa"/>
        </w:tblCellMar>
      </w:tblPr>
      <w:tblGrid>
        <w:gridCol w:w="495"/>
        <w:gridCol w:w="1223"/>
        <w:gridCol w:w="1575"/>
        <w:gridCol w:w="510"/>
        <w:gridCol w:w="690"/>
        <w:gridCol w:w="840"/>
        <w:gridCol w:w="1005"/>
        <w:gridCol w:w="3075"/>
        <w:gridCol w:w="862"/>
      </w:tblGrid>
      <w:tr>
        <w:tblPrEx>
          <w:tblCellMar>
            <w:top w:w="0" w:type="dxa"/>
            <w:left w:w="108" w:type="dxa"/>
            <w:bottom w:w="0" w:type="dxa"/>
            <w:right w:w="108" w:type="dxa"/>
          </w:tblCellMar>
        </w:tblPrEx>
        <w:trPr>
          <w:trHeight w:val="781"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名称</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规格型号</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数量</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单价</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合价</w:t>
            </w: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品牌要求</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eastAsia="zh-CN" w:bidi="ar"/>
              </w:rPr>
              <w:t>备注</w:t>
            </w:r>
          </w:p>
        </w:tc>
      </w:tr>
      <w:tr>
        <w:tblPrEx>
          <w:tblCellMar>
            <w:top w:w="0" w:type="dxa"/>
            <w:left w:w="108" w:type="dxa"/>
            <w:bottom w:w="0" w:type="dxa"/>
            <w:right w:w="108" w:type="dxa"/>
          </w:tblCellMar>
        </w:tblPrEx>
        <w:trPr>
          <w:trHeight w:val="781"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
              </w:rPr>
              <w:t>35kV进线柜</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G</w:t>
            </w:r>
            <w:r>
              <w:rPr>
                <w:rFonts w:hint="eastAsia" w:ascii="宋体" w:hAnsi="宋体" w:cs="宋体"/>
                <w:color w:val="000000"/>
                <w:kern w:val="0"/>
                <w:sz w:val="21"/>
                <w:szCs w:val="21"/>
                <w:lang w:val="en-US" w:eastAsia="zh-CN" w:bidi="ar"/>
              </w:rPr>
              <w:t>01</w:t>
            </w:r>
            <w:r>
              <w:rPr>
                <w:rFonts w:hint="eastAsia" w:ascii="宋体" w:hAnsi="宋体" w:eastAsia="宋体" w:cs="宋体"/>
                <w:color w:val="000000"/>
                <w:kern w:val="0"/>
                <w:sz w:val="21"/>
                <w:szCs w:val="21"/>
                <w:lang w:bidi="ar"/>
              </w:rPr>
              <w:t>-</w:t>
            </w:r>
            <w:r>
              <w:rPr>
                <w:rFonts w:hint="eastAsia" w:ascii="宋体" w:hAnsi="宋体" w:cs="宋体"/>
                <w:color w:val="000000"/>
                <w:kern w:val="0"/>
                <w:sz w:val="21"/>
                <w:szCs w:val="21"/>
                <w:lang w:val="en-US" w:eastAsia="zh-CN" w:bidi="ar"/>
              </w:rPr>
              <w:t>RM6-40.5/V</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bidi="ar"/>
              </w:rPr>
              <w:t>开关</w:t>
            </w:r>
            <w:r>
              <w:rPr>
                <w:rFonts w:hint="eastAsia" w:ascii="宋体" w:hAnsi="宋体" w:cs="宋体"/>
                <w:color w:val="000000"/>
                <w:kern w:val="0"/>
                <w:sz w:val="21"/>
                <w:szCs w:val="21"/>
                <w:highlight w:val="none"/>
                <w:lang w:eastAsia="zh-CN" w:bidi="ar"/>
              </w:rPr>
              <w:t>千开电气，保护南瑞、西门子</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781"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35kV  PT</w:t>
            </w:r>
            <w:r>
              <w:rPr>
                <w:rFonts w:hint="eastAsia" w:ascii="宋体" w:hAnsi="宋体" w:eastAsia="宋体" w:cs="宋体"/>
                <w:color w:val="000000"/>
                <w:kern w:val="0"/>
                <w:sz w:val="21"/>
                <w:szCs w:val="21"/>
                <w:lang w:bidi="ar"/>
              </w:rPr>
              <w:t>柜</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bidi="ar"/>
              </w:rPr>
              <w:t>G</w:t>
            </w:r>
            <w:r>
              <w:rPr>
                <w:rFonts w:hint="eastAsia" w:ascii="宋体" w:hAnsi="宋体" w:cs="宋体"/>
                <w:color w:val="000000"/>
                <w:kern w:val="0"/>
                <w:sz w:val="21"/>
                <w:szCs w:val="21"/>
                <w:lang w:val="en-US" w:eastAsia="zh-CN" w:bidi="ar"/>
              </w:rPr>
              <w:t>02</w:t>
            </w:r>
            <w:r>
              <w:rPr>
                <w:rFonts w:hint="eastAsia" w:ascii="宋体" w:hAnsi="宋体" w:eastAsia="宋体" w:cs="宋体"/>
                <w:color w:val="000000"/>
                <w:kern w:val="0"/>
                <w:sz w:val="21"/>
                <w:szCs w:val="21"/>
                <w:lang w:bidi="ar"/>
              </w:rPr>
              <w:t>-</w:t>
            </w:r>
            <w:r>
              <w:rPr>
                <w:rFonts w:hint="eastAsia" w:ascii="宋体" w:hAnsi="宋体" w:cs="宋体"/>
                <w:color w:val="000000"/>
                <w:kern w:val="0"/>
                <w:sz w:val="21"/>
                <w:szCs w:val="21"/>
                <w:lang w:val="en-US" w:eastAsia="zh-CN" w:bidi="ar"/>
              </w:rPr>
              <w:t>RM6-40.5/PT</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开关</w:t>
            </w:r>
            <w:r>
              <w:rPr>
                <w:rFonts w:hint="eastAsia" w:ascii="宋体" w:hAnsi="宋体" w:cs="宋体"/>
                <w:color w:val="000000"/>
                <w:kern w:val="0"/>
                <w:sz w:val="21"/>
                <w:szCs w:val="21"/>
                <w:highlight w:val="none"/>
                <w:lang w:eastAsia="zh-CN" w:bidi="ar"/>
              </w:rPr>
              <w:t>千开电气，保护南瑞、西门子</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781"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35kV出线柜</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w:t>
            </w:r>
            <w:r>
              <w:rPr>
                <w:rFonts w:hint="eastAsia" w:ascii="宋体" w:hAnsi="宋体" w:cs="宋体"/>
                <w:color w:val="000000"/>
                <w:kern w:val="0"/>
                <w:sz w:val="21"/>
                <w:szCs w:val="21"/>
                <w:lang w:val="en-US" w:eastAsia="zh-CN" w:bidi="ar"/>
              </w:rPr>
              <w:t>03-05</w:t>
            </w:r>
            <w:r>
              <w:rPr>
                <w:rFonts w:hint="eastAsia" w:ascii="宋体" w:hAnsi="宋体" w:eastAsia="宋体" w:cs="宋体"/>
                <w:color w:val="000000"/>
                <w:kern w:val="0"/>
                <w:sz w:val="21"/>
                <w:szCs w:val="21"/>
                <w:lang w:bidi="ar"/>
              </w:rPr>
              <w:t>-</w:t>
            </w:r>
            <w:r>
              <w:rPr>
                <w:rFonts w:hint="eastAsia" w:ascii="宋体" w:hAnsi="宋体" w:cs="宋体"/>
                <w:color w:val="000000"/>
                <w:kern w:val="0"/>
                <w:sz w:val="21"/>
                <w:szCs w:val="21"/>
                <w:lang w:val="en-US" w:eastAsia="zh-CN" w:bidi="ar"/>
              </w:rPr>
              <w:t>RM6-40.5/V</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开关</w:t>
            </w:r>
            <w:r>
              <w:rPr>
                <w:rFonts w:hint="eastAsia" w:ascii="宋体" w:hAnsi="宋体" w:cs="宋体"/>
                <w:color w:val="000000"/>
                <w:kern w:val="0"/>
                <w:sz w:val="21"/>
                <w:szCs w:val="21"/>
                <w:highlight w:val="none"/>
                <w:lang w:eastAsia="zh-CN" w:bidi="ar"/>
              </w:rPr>
              <w:t>千开电气，保护南瑞、西门子</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781"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eastAsia="zh-CN" w:bidi="ar"/>
              </w:rPr>
              <w:t>不锈钢外壳</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
              </w:rPr>
              <w:t>4300*1500*2650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lang w:val="en-US" w:eastAsia="zh-CN" w:bidi="ar-SA"/>
              </w:rPr>
            </w:pP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lang w:val="en-US" w:eastAsia="zh-CN" w:bidi="ar-SA"/>
              </w:rPr>
            </w:pPr>
          </w:p>
        </w:tc>
      </w:tr>
      <w:tr>
        <w:tblPrEx>
          <w:tblCellMar>
            <w:top w:w="0" w:type="dxa"/>
            <w:left w:w="108" w:type="dxa"/>
            <w:bottom w:w="0" w:type="dxa"/>
            <w:right w:w="108" w:type="dxa"/>
          </w:tblCellMar>
        </w:tblPrEx>
        <w:trPr>
          <w:trHeight w:val="651"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变压器主进柜D1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MNS-1200*1000*2200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开关ABB、</w:t>
            </w:r>
            <w:r>
              <w:rPr>
                <w:rFonts w:hint="eastAsia" w:ascii="宋体" w:hAnsi="宋体" w:cs="宋体"/>
                <w:color w:val="000000"/>
                <w:kern w:val="0"/>
                <w:sz w:val="21"/>
                <w:szCs w:val="21"/>
                <w:highlight w:val="none"/>
                <w:lang w:eastAsia="zh-CN" w:bidi="ar"/>
              </w:rPr>
              <w:t>施耐德</w:t>
            </w:r>
            <w:r>
              <w:rPr>
                <w:rFonts w:hint="eastAsia" w:ascii="宋体" w:hAnsi="宋体" w:eastAsia="宋体" w:cs="宋体"/>
                <w:color w:val="000000"/>
                <w:kern w:val="0"/>
                <w:sz w:val="21"/>
                <w:szCs w:val="21"/>
                <w:highlight w:val="none"/>
                <w:lang w:bidi="ar"/>
              </w:rPr>
              <w:t>多功能仪</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表安科瑞、</w:t>
            </w:r>
            <w:r>
              <w:rPr>
                <w:rFonts w:hint="eastAsia" w:ascii="宋体" w:hAnsi="宋体" w:cs="宋体"/>
                <w:color w:val="000000"/>
                <w:kern w:val="0"/>
                <w:sz w:val="21"/>
                <w:szCs w:val="21"/>
                <w:highlight w:val="none"/>
                <w:lang w:eastAsia="zh-CN" w:bidi="ar"/>
              </w:rPr>
              <w:t>许继电气、西门子</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709"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6</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电容柜D</w:t>
            </w:r>
            <w:r>
              <w:rPr>
                <w:rStyle w:val="18"/>
                <w:rFonts w:hint="eastAsia" w:ascii="宋体" w:hAnsi="宋体" w:eastAsia="宋体" w:cs="宋体"/>
                <w:sz w:val="21"/>
                <w:szCs w:val="21"/>
                <w:lang w:bidi="ar"/>
              </w:rPr>
              <w:t>2-D</w:t>
            </w:r>
            <w:r>
              <w:rPr>
                <w:rStyle w:val="18"/>
                <w:rFonts w:hint="eastAsia" w:ascii="宋体" w:hAnsi="宋体" w:cs="宋体"/>
                <w:sz w:val="21"/>
                <w:szCs w:val="21"/>
                <w:lang w:val="en-US" w:eastAsia="zh-CN" w:bidi="ar"/>
              </w:rPr>
              <w:t>5</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MNS-1000*1000*2200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开关ABB、</w:t>
            </w:r>
            <w:r>
              <w:rPr>
                <w:rFonts w:hint="eastAsia" w:ascii="宋体" w:hAnsi="宋体" w:cs="宋体"/>
                <w:color w:val="000000"/>
                <w:kern w:val="0"/>
                <w:sz w:val="21"/>
                <w:szCs w:val="21"/>
                <w:highlight w:val="none"/>
                <w:lang w:eastAsia="zh-CN" w:bidi="ar"/>
              </w:rPr>
              <w:t>施耐德</w:t>
            </w:r>
            <w:r>
              <w:rPr>
                <w:rFonts w:hint="eastAsia" w:ascii="宋体" w:hAnsi="宋体" w:eastAsia="宋体" w:cs="宋体"/>
                <w:color w:val="000000"/>
                <w:kern w:val="0"/>
                <w:sz w:val="21"/>
                <w:szCs w:val="21"/>
                <w:highlight w:val="none"/>
                <w:lang w:bidi="ar"/>
              </w:rPr>
              <w:t>多功能仪表</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安科瑞、</w:t>
            </w:r>
            <w:r>
              <w:rPr>
                <w:rFonts w:hint="eastAsia" w:ascii="宋体" w:hAnsi="宋体" w:cs="宋体"/>
                <w:color w:val="000000"/>
                <w:kern w:val="0"/>
                <w:sz w:val="21"/>
                <w:szCs w:val="21"/>
                <w:highlight w:val="none"/>
                <w:lang w:eastAsia="zh-CN" w:bidi="ar"/>
              </w:rPr>
              <w:t>许继电气、西门子</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85"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7</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有源滤波D</w:t>
            </w:r>
            <w:r>
              <w:rPr>
                <w:rFonts w:hint="eastAsia" w:ascii="宋体" w:hAnsi="宋体" w:cs="宋体"/>
                <w:color w:val="000000"/>
                <w:kern w:val="0"/>
                <w:sz w:val="21"/>
                <w:szCs w:val="21"/>
                <w:lang w:val="en-US" w:eastAsia="zh-CN" w:bidi="ar"/>
              </w:rPr>
              <w:t>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MNS-1</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00*1000*2200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开关ABB、</w:t>
            </w:r>
            <w:r>
              <w:rPr>
                <w:rFonts w:hint="eastAsia" w:ascii="宋体" w:hAnsi="宋体" w:cs="宋体"/>
                <w:color w:val="000000"/>
                <w:kern w:val="0"/>
                <w:sz w:val="21"/>
                <w:szCs w:val="21"/>
                <w:highlight w:val="none"/>
                <w:lang w:eastAsia="zh-CN" w:bidi="ar"/>
              </w:rPr>
              <w:t>施耐德</w:t>
            </w:r>
            <w:r>
              <w:rPr>
                <w:rFonts w:hint="eastAsia" w:ascii="宋体" w:hAnsi="宋体" w:eastAsia="宋体" w:cs="宋体"/>
                <w:color w:val="000000"/>
                <w:kern w:val="0"/>
                <w:sz w:val="21"/>
                <w:szCs w:val="21"/>
                <w:highlight w:val="none"/>
                <w:lang w:bidi="ar"/>
              </w:rPr>
              <w:t>多功能仪表、</w:t>
            </w:r>
            <w:r>
              <w:rPr>
                <w:rFonts w:hint="eastAsia" w:ascii="宋体" w:hAnsi="宋体" w:cs="宋体"/>
                <w:color w:val="000000"/>
                <w:kern w:val="0"/>
                <w:sz w:val="21"/>
                <w:szCs w:val="21"/>
                <w:highlight w:val="none"/>
                <w:lang w:eastAsia="zh-CN" w:bidi="ar"/>
              </w:rPr>
              <w:t>许继电气、西门子</w:t>
            </w:r>
            <w:r>
              <w:rPr>
                <w:rFonts w:hint="default" w:ascii="宋体" w:hAnsi="宋体" w:cs="宋体"/>
                <w:kern w:val="0"/>
                <w:sz w:val="21"/>
                <w:szCs w:val="21"/>
                <w:highlight w:val="none"/>
                <w:lang w:val="en-US"/>
              </w:rPr>
              <w:t>北京航天绿博</w:t>
            </w:r>
            <w:r>
              <w:rPr>
                <w:rFonts w:hint="eastAsia" w:ascii="宋体" w:hAnsi="宋体" w:cs="宋体"/>
                <w:kern w:val="0"/>
                <w:sz w:val="21"/>
                <w:szCs w:val="21"/>
                <w:highlight w:val="none"/>
                <w:lang w:val="en-US" w:eastAsia="zh-CN"/>
              </w:rPr>
              <w:t>、</w:t>
            </w:r>
            <w:r>
              <w:rPr>
                <w:rFonts w:hint="default" w:ascii="宋体" w:hAnsi="宋体" w:cs="宋体"/>
                <w:kern w:val="0"/>
                <w:sz w:val="21"/>
                <w:szCs w:val="21"/>
                <w:highlight w:val="none"/>
                <w:lang w:val="en-US"/>
              </w:rPr>
              <w:t>北京中石汇能</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846"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cs="宋体"/>
                <w:color w:val="000000"/>
                <w:kern w:val="0"/>
                <w:sz w:val="21"/>
                <w:szCs w:val="21"/>
                <w:highlight w:val="none"/>
                <w:lang w:val="en-US" w:eastAsia="zh-CN" w:bidi="ar"/>
              </w:rPr>
              <w:t>8</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出线柜D</w:t>
            </w:r>
            <w:r>
              <w:rPr>
                <w:rStyle w:val="18"/>
                <w:rFonts w:hint="eastAsia" w:ascii="宋体" w:hAnsi="宋体" w:cs="宋体"/>
                <w:sz w:val="21"/>
                <w:szCs w:val="21"/>
                <w:highlight w:val="none"/>
                <w:lang w:val="en-US" w:eastAsia="zh-CN" w:bidi="ar"/>
              </w:rPr>
              <w:t>7</w:t>
            </w:r>
            <w:r>
              <w:rPr>
                <w:rStyle w:val="18"/>
                <w:rFonts w:hint="eastAsia" w:ascii="宋体" w:hAnsi="宋体" w:eastAsia="宋体" w:cs="宋体"/>
                <w:sz w:val="21"/>
                <w:szCs w:val="21"/>
                <w:highlight w:val="none"/>
                <w:lang w:bidi="ar"/>
              </w:rPr>
              <w:t>-D1</w:t>
            </w:r>
            <w:r>
              <w:rPr>
                <w:rStyle w:val="18"/>
                <w:rFonts w:hint="eastAsia" w:ascii="宋体" w:hAnsi="宋体" w:cs="宋体"/>
                <w:sz w:val="21"/>
                <w:szCs w:val="21"/>
                <w:highlight w:val="none"/>
                <w:lang w:val="en-US" w:eastAsia="zh-CN" w:bidi="ar"/>
              </w:rPr>
              <w:t>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bidi="ar"/>
              </w:rPr>
              <w:t>MNS-</w:t>
            </w:r>
            <w:r>
              <w:rPr>
                <w:rFonts w:hint="eastAsia" w:ascii="宋体" w:hAnsi="宋体" w:cs="宋体"/>
                <w:color w:val="000000"/>
                <w:kern w:val="0"/>
                <w:sz w:val="21"/>
                <w:szCs w:val="21"/>
                <w:highlight w:val="none"/>
                <w:lang w:val="en-US" w:eastAsia="zh-CN" w:bidi="ar"/>
              </w:rPr>
              <w:t>800</w:t>
            </w:r>
            <w:r>
              <w:rPr>
                <w:rFonts w:hint="eastAsia" w:ascii="宋体" w:hAnsi="宋体" w:eastAsia="宋体" w:cs="宋体"/>
                <w:color w:val="000000"/>
                <w:kern w:val="0"/>
                <w:sz w:val="21"/>
                <w:szCs w:val="21"/>
                <w:highlight w:val="none"/>
                <w:lang w:bidi="ar"/>
              </w:rPr>
              <w:t>*1000*220</w:t>
            </w:r>
            <w:r>
              <w:rPr>
                <w:rFonts w:hint="eastAsia" w:ascii="宋体" w:hAnsi="宋体" w:cs="宋体"/>
                <w:color w:val="000000"/>
                <w:kern w:val="0"/>
                <w:sz w:val="21"/>
                <w:szCs w:val="21"/>
                <w:highlight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cs="宋体"/>
                <w:color w:val="000000"/>
                <w:kern w:val="0"/>
                <w:sz w:val="21"/>
                <w:szCs w:val="21"/>
                <w:highlight w:val="none"/>
                <w:lang w:val="en-US" w:eastAsia="zh-CN" w:bidi="ar"/>
              </w:rPr>
              <w:t>8</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开关ABB、</w:t>
            </w:r>
            <w:r>
              <w:rPr>
                <w:rFonts w:hint="eastAsia" w:ascii="宋体" w:hAnsi="宋体" w:cs="宋体"/>
                <w:color w:val="000000"/>
                <w:kern w:val="0"/>
                <w:sz w:val="21"/>
                <w:szCs w:val="21"/>
                <w:highlight w:val="none"/>
                <w:lang w:eastAsia="zh-CN" w:bidi="ar"/>
              </w:rPr>
              <w:t>施耐德</w:t>
            </w:r>
            <w:r>
              <w:rPr>
                <w:rFonts w:hint="eastAsia" w:ascii="宋体" w:hAnsi="宋体" w:eastAsia="宋体" w:cs="宋体"/>
                <w:color w:val="000000"/>
                <w:kern w:val="0"/>
                <w:sz w:val="21"/>
                <w:szCs w:val="21"/>
                <w:highlight w:val="none"/>
                <w:lang w:bidi="ar"/>
              </w:rPr>
              <w:t>多功能仪表</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安科瑞、</w:t>
            </w:r>
            <w:r>
              <w:rPr>
                <w:rFonts w:hint="eastAsia" w:ascii="宋体" w:hAnsi="宋体" w:cs="宋体"/>
                <w:color w:val="000000"/>
                <w:kern w:val="0"/>
                <w:sz w:val="21"/>
                <w:szCs w:val="21"/>
                <w:highlight w:val="none"/>
                <w:lang w:eastAsia="zh-CN" w:bidi="ar"/>
              </w:rPr>
              <w:t>许继电气、西门子</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4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9</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RT01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2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RT02</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6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RT03</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57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RT04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56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13</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RT05</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56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RT06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4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RT07</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75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16</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RT08</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8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17</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冰机控制柜</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79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18</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冰机冷却塔就地箱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76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19</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明胶罐就地箱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88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电解溶铜罐区一楼临时电箱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104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电解溶铜罐区二楼临时电箱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9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电解管道间临时电箱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eastAsia="zh-CN"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85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23</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楼顶临时电箱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eastAsia="zh-CN"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1519"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冰机、空调、酸雾塔区域临时电箱（各1个）</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eastAsia="zh-CN"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104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铜库、仓库共3层（各1个）</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eastAsia="zh-CN"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8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26</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两地控制箱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eastAsia="zh-CN"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738"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27</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磨辊机</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eastAsia="zh-CN"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81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28</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磨辊机就地箱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96"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eastAsia="zh-CN" w:bidi="ar"/>
              </w:rPr>
            </w:pPr>
            <w:r>
              <w:rPr>
                <w:rFonts w:hint="eastAsia" w:ascii="宋体" w:hAnsi="宋体" w:cs="宋体"/>
                <w:color w:val="000000"/>
                <w:kern w:val="0"/>
                <w:sz w:val="21"/>
                <w:szCs w:val="21"/>
                <w:lang w:eastAsia="zh-CN" w:bidi="ar"/>
              </w:rPr>
              <w:t>见附表</w:t>
            </w:r>
          </w:p>
        </w:tc>
        <w:tc>
          <w:tcPr>
            <w:tcW w:w="41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89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29</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配电室电源箱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控制柜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1"/>
                <w:szCs w:val="21"/>
                <w:highlight w:val="none"/>
                <w:lang w:val="en-US" w:eastAsia="zh-CN" w:bidi="ar"/>
              </w:rPr>
            </w:pPr>
            <w:r>
              <w:rPr>
                <w:rFonts w:hint="default" w:ascii="宋体" w:hAnsi="宋体" w:cs="宋体"/>
                <w:color w:val="000000"/>
                <w:kern w:val="0"/>
                <w:sz w:val="21"/>
                <w:szCs w:val="21"/>
                <w:highlight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highlight w:val="none"/>
                <w:lang w:val="en-US" w:eastAsia="zh-CN" w:bidi="ar-S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highlight w:val="none"/>
                <w:lang w:val="en-US" w:eastAsia="zh-CN" w:bidi="ar-SA"/>
              </w:rPr>
            </w:pPr>
          </w:p>
        </w:tc>
        <w:tc>
          <w:tcPr>
            <w:tcW w:w="1496"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cs="宋体"/>
                <w:color w:val="000000"/>
                <w:kern w:val="0"/>
                <w:sz w:val="21"/>
                <w:szCs w:val="21"/>
                <w:highlight w:val="none"/>
                <w:lang w:eastAsia="zh-CN" w:bidi="ar"/>
              </w:rPr>
              <w:t>见附表</w:t>
            </w:r>
          </w:p>
        </w:tc>
        <w:tc>
          <w:tcPr>
            <w:tcW w:w="419"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highlight w:val="none"/>
                <w:lang w:bidi="ar"/>
              </w:rPr>
            </w:pPr>
          </w:p>
        </w:tc>
      </w:tr>
    </w:tbl>
    <w:p>
      <w:pPr>
        <w:pStyle w:val="2"/>
        <w:ind w:firstLine="640"/>
        <w:jc w:val="both"/>
        <w:rPr>
          <w:rFonts w:hint="eastAsia" w:ascii="宋体" w:hAnsi="宋体" w:eastAsia="宋体" w:cs="宋体"/>
          <w:lang w:val="zh-CN"/>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sz w:val="24"/>
          <w:szCs w:val="24"/>
          <w:highlight w:val="none"/>
          <w:lang w:val="zh-CN"/>
        </w:rPr>
        <w:t>三、技术</w:t>
      </w:r>
      <w:r>
        <w:rPr>
          <w:rFonts w:hint="eastAsia" w:ascii="宋体" w:hAnsi="宋体" w:eastAsia="宋体" w:cs="宋体"/>
          <w:b/>
          <w:sz w:val="24"/>
          <w:szCs w:val="24"/>
          <w:highlight w:val="none"/>
        </w:rPr>
        <w:t>要求</w:t>
      </w:r>
    </w:p>
    <w:p>
      <w:pPr>
        <w:tabs>
          <w:tab w:val="left" w:pos="753"/>
        </w:tabs>
        <w:spacing w:line="360" w:lineRule="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1、</w:t>
      </w:r>
      <w:r>
        <w:rPr>
          <w:rFonts w:hint="eastAsia" w:ascii="宋体" w:hAnsi="宋体" w:eastAsia="宋体" w:cs="宋体"/>
          <w:b/>
          <w:bCs/>
          <w:sz w:val="24"/>
          <w:szCs w:val="24"/>
          <w:highlight w:val="none"/>
        </w:rPr>
        <w:t>0.4kV开关柜技术规范</w:t>
      </w:r>
    </w:p>
    <w:p>
      <w:pPr>
        <w:spacing w:line="360" w:lineRule="auto"/>
        <w:rPr>
          <w:rFonts w:hint="eastAsia" w:ascii="宋体" w:hAnsi="宋体" w:eastAsia="宋体" w:cs="宋体"/>
          <w:b/>
          <w:sz w:val="24"/>
          <w:szCs w:val="24"/>
          <w:highlight w:val="none"/>
        </w:rPr>
      </w:pPr>
      <w:bookmarkStart w:id="1" w:name="_Hlk23930605"/>
      <w:r>
        <w:rPr>
          <w:rFonts w:hint="eastAsia" w:ascii="宋体" w:hAnsi="宋体" w:eastAsia="宋体" w:cs="宋体"/>
          <w:b/>
          <w:sz w:val="24"/>
          <w:szCs w:val="24"/>
          <w:highlight w:val="none"/>
        </w:rPr>
        <w:t>1.1、  品牌选型范围</w:t>
      </w:r>
    </w:p>
    <w:p>
      <w:pPr>
        <w:autoSpaceDE w:val="0"/>
        <w:autoSpaceDN w:val="0"/>
        <w:adjustRightInd w:val="0"/>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b/>
          <w:bCs/>
          <w:kern w:val="0"/>
          <w:sz w:val="24"/>
          <w:szCs w:val="24"/>
          <w:highlight w:val="none"/>
        </w:rPr>
        <w:t>1.1.1、</w:t>
      </w:r>
      <w:r>
        <w:rPr>
          <w:rFonts w:hint="eastAsia" w:ascii="宋体" w:hAnsi="宋体" w:eastAsia="宋体" w:cs="宋体"/>
          <w:b/>
          <w:bCs/>
          <w:kern w:val="0"/>
          <w:sz w:val="24"/>
          <w:szCs w:val="24"/>
          <w:highlight w:val="none"/>
          <w:lang w:val="zh-CN"/>
        </w:rPr>
        <w:t>低压</w:t>
      </w:r>
      <w:r>
        <w:rPr>
          <w:rFonts w:hint="eastAsia" w:ascii="宋体" w:hAnsi="宋体" w:eastAsia="宋体" w:cs="宋体"/>
          <w:b/>
          <w:bCs/>
          <w:kern w:val="0"/>
          <w:sz w:val="24"/>
          <w:szCs w:val="24"/>
          <w:highlight w:val="none"/>
        </w:rPr>
        <w:t>开关</w:t>
      </w:r>
      <w:r>
        <w:rPr>
          <w:rFonts w:hint="eastAsia" w:ascii="宋体" w:hAnsi="宋体" w:eastAsia="宋体" w:cs="宋体"/>
          <w:kern w:val="0"/>
          <w:sz w:val="24"/>
          <w:szCs w:val="24"/>
          <w:highlight w:val="none"/>
          <w:lang w:val="zh-CN"/>
        </w:rPr>
        <w:t>：</w:t>
      </w:r>
    </w:p>
    <w:p>
      <w:pPr>
        <w:autoSpaceDE w:val="0"/>
        <w:autoSpaceDN w:val="0"/>
        <w:adjustRightInd w:val="0"/>
        <w:spacing w:line="360" w:lineRule="auto"/>
        <w:ind w:firstLine="120" w:firstLineChars="50"/>
        <w:jc w:val="left"/>
        <w:rPr>
          <w:rFonts w:hint="eastAsia" w:ascii="宋体" w:hAnsi="宋体" w:cs="宋体"/>
          <w:kern w:val="0"/>
          <w:sz w:val="24"/>
          <w:szCs w:val="24"/>
          <w:highlight w:val="none"/>
          <w:lang w:eastAsia="zh-CN"/>
        </w:rPr>
      </w:pPr>
      <w:r>
        <w:rPr>
          <w:rFonts w:hint="eastAsia" w:ascii="宋体" w:hAnsi="宋体" w:eastAsia="宋体" w:cs="宋体"/>
          <w:kern w:val="0"/>
          <w:sz w:val="24"/>
          <w:szCs w:val="24"/>
          <w:highlight w:val="none"/>
        </w:rPr>
        <w:t xml:space="preserve"> 主开关（</w:t>
      </w:r>
      <w:r>
        <w:rPr>
          <w:rFonts w:hint="eastAsia" w:ascii="宋体" w:hAnsi="宋体" w:cs="宋体"/>
          <w:kern w:val="0"/>
          <w:sz w:val="24"/>
          <w:szCs w:val="24"/>
          <w:highlight w:val="none"/>
          <w:lang w:val="en-US" w:eastAsia="zh-CN"/>
        </w:rPr>
        <w:t>630</w:t>
      </w:r>
      <w:r>
        <w:rPr>
          <w:rFonts w:hint="eastAsia" w:ascii="宋体" w:hAnsi="宋体" w:eastAsia="宋体" w:cs="宋体"/>
          <w:kern w:val="0"/>
          <w:sz w:val="24"/>
          <w:szCs w:val="24"/>
          <w:highlight w:val="none"/>
        </w:rPr>
        <w:t>0A）用ABB品牌</w:t>
      </w:r>
      <w:r>
        <w:rPr>
          <w:rFonts w:hint="eastAsia" w:ascii="宋体" w:hAnsi="宋体" w:cs="宋体"/>
          <w:kern w:val="0"/>
          <w:sz w:val="24"/>
          <w:szCs w:val="24"/>
          <w:highlight w:val="none"/>
          <w:lang w:eastAsia="zh-CN"/>
        </w:rPr>
        <w:t>，1）框架断路器：</w:t>
      </w:r>
    </w:p>
    <w:p>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 xml:space="preserve">ABB/Emax2系列，脱扣器Ekip T-LSI WHR </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lang w:eastAsia="zh-CN"/>
        </w:rPr>
        <w:t>P， 2）塑壳断路器：ABB/XT系列（热磁脱扣器）分断能力不低于65KA</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其他开关采用同等品牌</w:t>
      </w:r>
      <w:r>
        <w:rPr>
          <w:rFonts w:hint="eastAsia" w:ascii="宋体" w:hAnsi="宋体" w:cs="宋体"/>
          <w:kern w:val="0"/>
          <w:sz w:val="24"/>
          <w:szCs w:val="24"/>
          <w:highlight w:val="none"/>
          <w:lang w:val="en-US" w:eastAsia="zh-CN"/>
        </w:rPr>
        <w:t>.</w:t>
      </w:r>
    </w:p>
    <w:p>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lang w:val="zh-CN"/>
        </w:rPr>
      </w:pPr>
      <w:r>
        <w:rPr>
          <w:rFonts w:hint="eastAsia" w:ascii="宋体" w:hAnsi="宋体" w:eastAsia="宋体" w:cs="宋体"/>
          <w:b/>
          <w:bCs/>
          <w:kern w:val="0"/>
          <w:sz w:val="24"/>
          <w:szCs w:val="24"/>
          <w:highlight w:val="none"/>
        </w:rPr>
        <w:t>1.1.2、低压电容</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有源滤波柜</w:t>
      </w:r>
      <w:r>
        <w:rPr>
          <w:rFonts w:hint="eastAsia" w:ascii="宋体" w:hAnsi="宋体" w:eastAsia="宋体" w:cs="宋体"/>
          <w:kern w:val="0"/>
          <w:sz w:val="24"/>
          <w:szCs w:val="24"/>
          <w:highlight w:val="none"/>
          <w:lang w:val="zh-CN"/>
        </w:rPr>
        <w:t>：</w:t>
      </w:r>
    </w:p>
    <w:p>
      <w:pPr>
        <w:autoSpaceDE w:val="0"/>
        <w:autoSpaceDN w:val="0"/>
        <w:adjustRightInd w:val="0"/>
        <w:spacing w:line="360" w:lineRule="auto"/>
        <w:ind w:firstLine="240" w:firstLineChars="1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1#方案</w:t>
      </w:r>
      <w:r>
        <w:rPr>
          <w:rFonts w:hint="eastAsia" w:ascii="宋体" w:hAnsi="宋体" w:eastAsia="宋体" w:cs="宋体"/>
          <w:color w:val="auto"/>
          <w:kern w:val="0"/>
          <w:sz w:val="24"/>
          <w:szCs w:val="24"/>
          <w:highlight w:val="none"/>
        </w:rPr>
        <w:t>ABB品牌（含电抗器、控制器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w:t>
      </w:r>
      <w:r>
        <w:rPr>
          <w:rFonts w:hint="eastAsia" w:ascii="宋体" w:hAnsi="宋体" w:eastAsia="宋体" w:cs="宋体"/>
          <w:b w:val="0"/>
          <w:bCs w:val="0"/>
          <w:kern w:val="0"/>
          <w:sz w:val="24"/>
          <w:szCs w:val="24"/>
          <w:highlight w:val="none"/>
        </w:rPr>
        <w:t>有源滤波柜</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ABB、施耐德、</w:t>
      </w:r>
      <w:r>
        <w:rPr>
          <w:rFonts w:hint="default" w:ascii="宋体" w:hAnsi="宋体" w:cs="宋体"/>
          <w:kern w:val="0"/>
          <w:sz w:val="24"/>
          <w:szCs w:val="24"/>
          <w:highlight w:val="none"/>
          <w:lang w:val="en-US"/>
        </w:rPr>
        <w:t>北京中石汇能</w:t>
      </w:r>
      <w:r>
        <w:rPr>
          <w:rFonts w:hint="eastAsia" w:ascii="宋体" w:hAnsi="宋体" w:cs="宋体"/>
          <w:kern w:val="0"/>
          <w:sz w:val="24"/>
          <w:szCs w:val="24"/>
          <w:highlight w:val="none"/>
          <w:lang w:val="en-US" w:eastAsia="zh-CN"/>
        </w:rPr>
        <w:t>、</w:t>
      </w:r>
      <w:r>
        <w:rPr>
          <w:rFonts w:hint="default" w:ascii="宋体" w:hAnsi="宋体" w:cs="宋体"/>
          <w:kern w:val="0"/>
          <w:sz w:val="24"/>
          <w:szCs w:val="24"/>
          <w:highlight w:val="none"/>
          <w:lang w:val="en-US"/>
        </w:rPr>
        <w:t>北京航天绿博</w:t>
      </w:r>
      <w:r>
        <w:rPr>
          <w:rFonts w:hint="eastAsia" w:ascii="宋体" w:hAnsi="宋体" w:cs="宋体"/>
          <w:kern w:val="0"/>
          <w:sz w:val="24"/>
          <w:szCs w:val="24"/>
          <w:highlight w:val="none"/>
          <w:lang w:val="en-US" w:eastAsia="zh-CN"/>
        </w:rPr>
        <w:t>、安科瑞</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共5台柜。</w:t>
      </w:r>
    </w:p>
    <w:p>
      <w:pPr>
        <w:tabs>
          <w:tab w:val="left" w:pos="9082"/>
        </w:tabs>
        <w:autoSpaceDE w:val="0"/>
        <w:autoSpaceDN w:val="0"/>
        <w:adjustRightInd w:val="0"/>
        <w:spacing w:line="360" w:lineRule="auto"/>
        <w:ind w:firstLine="240" w:firstLineChars="100"/>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2#方案</w:t>
      </w:r>
      <w:r>
        <w:rPr>
          <w:rFonts w:hint="default" w:ascii="宋体" w:hAnsi="宋体" w:cs="宋体"/>
          <w:kern w:val="0"/>
          <w:sz w:val="24"/>
          <w:szCs w:val="24"/>
          <w:highlight w:val="none"/>
          <w:lang w:val="en-US"/>
        </w:rPr>
        <w:t>北京航天绿博静止无功发生器AS SVG，北京中石汇能静止无功发生器ZSHN SVG。按每台300kvar电容+120A有源滤波，共5台柜。合计电容1500Kvar、有源滤波600A。</w:t>
      </w:r>
    </w:p>
    <w:p>
      <w:pPr>
        <w:autoSpaceDE w:val="0"/>
        <w:autoSpaceDN w:val="0"/>
        <w:adjustRightInd w:val="0"/>
        <w:spacing w:line="360" w:lineRule="auto"/>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1.1.</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仪表及电力监控系统</w:t>
      </w:r>
      <w:r>
        <w:rPr>
          <w:rFonts w:hint="eastAsia" w:ascii="宋体" w:hAnsi="宋体" w:eastAsia="宋体" w:cs="宋体"/>
          <w:b/>
          <w:bCs/>
          <w:kern w:val="0"/>
          <w:sz w:val="24"/>
          <w:szCs w:val="24"/>
          <w:lang w:val="zh-CN"/>
        </w:rPr>
        <w:t>：</w:t>
      </w:r>
    </w:p>
    <w:p>
      <w:pPr>
        <w:autoSpaceDE w:val="0"/>
        <w:autoSpaceDN w:val="0"/>
        <w:adjustRightInd w:val="0"/>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安科瑞ACR220ELH/DG  ACREL2000-ZDG同等</w:t>
      </w:r>
    </w:p>
    <w:bookmarkEnd w:id="1"/>
    <w:p>
      <w:pPr>
        <w:tabs>
          <w:tab w:val="left" w:pos="753"/>
        </w:tabs>
        <w:spacing w:line="360" w:lineRule="auto"/>
        <w:rPr>
          <w:rFonts w:hint="eastAsia" w:ascii="宋体" w:hAnsi="宋体" w:eastAsia="宋体" w:cs="宋体"/>
          <w:b/>
          <w:sz w:val="24"/>
          <w:szCs w:val="24"/>
        </w:rPr>
      </w:pPr>
      <w:r>
        <w:rPr>
          <w:rFonts w:hint="eastAsia" w:ascii="宋体" w:hAnsi="宋体" w:eastAsia="宋体" w:cs="宋体"/>
          <w:b/>
          <w:sz w:val="24"/>
          <w:szCs w:val="24"/>
        </w:rPr>
        <w:t>1.2 技术标准</w:t>
      </w:r>
    </w:p>
    <w:p>
      <w:pPr>
        <w:pStyle w:val="17"/>
        <w:spacing w:beforeLines="0"/>
        <w:rPr>
          <w:rFonts w:hint="eastAsia" w:ascii="宋体" w:hAnsi="宋体" w:eastAsia="宋体" w:cs="宋体"/>
          <w:sz w:val="24"/>
          <w:szCs w:val="24"/>
        </w:rPr>
      </w:pPr>
      <w:r>
        <w:rPr>
          <w:rFonts w:hint="eastAsia" w:ascii="宋体" w:hAnsi="宋体" w:eastAsia="宋体" w:cs="宋体"/>
          <w:sz w:val="24"/>
          <w:szCs w:val="24"/>
        </w:rPr>
        <w:t>1.2.1设计制造标准</w:t>
      </w:r>
      <w:bookmarkStart w:id="2" w:name="_Toc4923"/>
      <w:bookmarkStart w:id="3" w:name="_Toc30545"/>
    </w:p>
    <w:p>
      <w:pPr>
        <w:pStyle w:val="17"/>
        <w:spacing w:beforeLines="0"/>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投标人应使用最新颁布执行的国家标准、行业标准和IEC标准，在招标人同意时可以使用其他性能更高的标准。行业标准中已对产品质量分等作出规定的条款，投标人所提供的产品性能应达到优等品的标准。厂家应在满足下列技术条件下，提供产品的型式试验报告。</w:t>
      </w:r>
      <w:bookmarkEnd w:id="2"/>
      <w:bookmarkEnd w:id="3"/>
    </w:p>
    <w:p>
      <w:pPr>
        <w:pStyle w:val="17"/>
        <w:tabs>
          <w:tab w:val="left" w:pos="420"/>
        </w:tabs>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4" w:name="_Toc11526"/>
      <w:bookmarkStart w:id="5" w:name="_Toc17861"/>
      <w:r>
        <w:rPr>
          <w:rFonts w:hint="eastAsia" w:ascii="宋体" w:hAnsi="宋体" w:eastAsia="宋体" w:cs="宋体"/>
          <w:b w:val="0"/>
          <w:sz w:val="24"/>
          <w:szCs w:val="24"/>
        </w:rPr>
        <w:t>GB/T24274-2009《低压抽出式成套开关设备和控制设备》</w:t>
      </w:r>
      <w:bookmarkEnd w:id="4"/>
      <w:bookmarkEnd w:id="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 w:name="_Toc30837"/>
      <w:bookmarkStart w:id="7" w:name="_Toc12560"/>
      <w:r>
        <w:rPr>
          <w:rFonts w:hint="eastAsia" w:ascii="宋体" w:hAnsi="宋体" w:eastAsia="宋体" w:cs="宋体"/>
          <w:b w:val="0"/>
          <w:sz w:val="24"/>
          <w:szCs w:val="24"/>
        </w:rPr>
        <w:t>GB7251.1-2013 《低压成套开关设备和控制设备 第一部分：总则》</w:t>
      </w:r>
      <w:bookmarkEnd w:id="6"/>
      <w:bookmarkEnd w:id="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 w:name="_Toc14575"/>
      <w:bookmarkStart w:id="9" w:name="_Toc26081"/>
      <w:r>
        <w:rPr>
          <w:rFonts w:hint="eastAsia" w:ascii="宋体" w:hAnsi="宋体" w:eastAsia="宋体" w:cs="宋体"/>
          <w:b w:val="0"/>
          <w:sz w:val="24"/>
          <w:szCs w:val="24"/>
        </w:rPr>
        <w:t>GB7251.12-2013 《低压成套开关设备和控制设备 第2部分:成套电力开关设备和控制设备》</w:t>
      </w:r>
      <w:bookmarkEnd w:id="8"/>
      <w:bookmarkEnd w:id="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 w:name="_Toc9492"/>
      <w:bookmarkStart w:id="11" w:name="_Toc5589"/>
      <w:r>
        <w:rPr>
          <w:rFonts w:hint="eastAsia" w:ascii="宋体" w:hAnsi="宋体" w:eastAsia="宋体" w:cs="宋体"/>
          <w:b w:val="0"/>
          <w:sz w:val="24"/>
          <w:szCs w:val="24"/>
        </w:rPr>
        <w:t>GB14048.2-2008《低压开关设备和控制设备 第一部分：断路器》</w:t>
      </w:r>
      <w:bookmarkEnd w:id="10"/>
      <w:bookmarkEnd w:id="1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 w:name="_Toc11571"/>
      <w:bookmarkStart w:id="13" w:name="_Toc27734"/>
      <w:r>
        <w:rPr>
          <w:rFonts w:hint="eastAsia" w:ascii="宋体" w:hAnsi="宋体" w:eastAsia="宋体" w:cs="宋体"/>
          <w:b w:val="0"/>
          <w:sz w:val="24"/>
          <w:szCs w:val="24"/>
        </w:rPr>
        <w:t>ZBNO4009-1988 《工业自动化仪表盘技术条件》</w:t>
      </w:r>
      <w:bookmarkEnd w:id="12"/>
      <w:bookmarkEnd w:id="13"/>
      <w:r>
        <w:rPr>
          <w:rFonts w:hint="eastAsia" w:ascii="宋体" w:hAnsi="宋体" w:eastAsia="宋体" w:cs="宋体"/>
          <w:b w:val="0"/>
          <w:sz w:val="24"/>
          <w:szCs w:val="24"/>
        </w:rPr>
        <w:t xml:space="preserve">  </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 w:name="_Toc26527"/>
      <w:bookmarkStart w:id="15" w:name="_Toc2218"/>
      <w:r>
        <w:rPr>
          <w:rFonts w:hint="eastAsia" w:ascii="宋体" w:hAnsi="宋体" w:eastAsia="宋体" w:cs="宋体"/>
          <w:b w:val="0"/>
          <w:sz w:val="24"/>
          <w:szCs w:val="24"/>
        </w:rPr>
        <w:t>GB4720-1984   《低压电器电控设备》</w:t>
      </w:r>
      <w:bookmarkEnd w:id="14"/>
      <w:bookmarkEnd w:id="1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6" w:name="_Toc5174"/>
      <w:bookmarkStart w:id="17" w:name="_Toc24025"/>
      <w:r>
        <w:rPr>
          <w:rFonts w:hint="eastAsia" w:ascii="宋体" w:hAnsi="宋体" w:eastAsia="宋体" w:cs="宋体"/>
          <w:b w:val="0"/>
          <w:sz w:val="24"/>
          <w:szCs w:val="24"/>
        </w:rPr>
        <w:t>GB/T2681-1981 《电工成套装置中的导体颜色》</w:t>
      </w:r>
      <w:bookmarkEnd w:id="16"/>
      <w:bookmarkEnd w:id="1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 w:name="_Toc696"/>
      <w:bookmarkStart w:id="19" w:name="_Toc15954"/>
      <w:r>
        <w:rPr>
          <w:rFonts w:hint="eastAsia" w:ascii="宋体" w:hAnsi="宋体" w:eastAsia="宋体" w:cs="宋体"/>
          <w:b w:val="0"/>
          <w:sz w:val="24"/>
          <w:szCs w:val="24"/>
        </w:rPr>
        <w:t>GB/T2682-1981 《电工成套装置中的指示灯和按钮颜色》</w:t>
      </w:r>
      <w:bookmarkEnd w:id="18"/>
      <w:bookmarkEnd w:id="1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0" w:name="_Toc32264"/>
      <w:bookmarkStart w:id="21" w:name="_Toc9737"/>
      <w:r>
        <w:rPr>
          <w:rFonts w:hint="eastAsia" w:ascii="宋体" w:hAnsi="宋体" w:eastAsia="宋体" w:cs="宋体"/>
          <w:b w:val="0"/>
          <w:sz w:val="24"/>
          <w:szCs w:val="24"/>
        </w:rPr>
        <w:t>JB/T1937-1981 《工业自动化仪表盘接线端子》</w:t>
      </w:r>
      <w:bookmarkEnd w:id="20"/>
      <w:bookmarkEnd w:id="2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 w:name="_Toc7089"/>
      <w:bookmarkStart w:id="23" w:name="_Toc2243"/>
      <w:r>
        <w:rPr>
          <w:rFonts w:hint="eastAsia" w:ascii="宋体" w:hAnsi="宋体" w:eastAsia="宋体" w:cs="宋体"/>
          <w:b w:val="0"/>
          <w:sz w:val="24"/>
          <w:szCs w:val="24"/>
        </w:rPr>
        <w:t>JB/T9661-1999 《低压抽出式成套开关设备》</w:t>
      </w:r>
      <w:bookmarkEnd w:id="22"/>
      <w:bookmarkEnd w:id="2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 w:name="_Toc829"/>
      <w:bookmarkStart w:id="25" w:name="_Toc22398"/>
      <w:r>
        <w:rPr>
          <w:rFonts w:hint="eastAsia" w:ascii="宋体" w:hAnsi="宋体" w:eastAsia="宋体" w:cs="宋体"/>
          <w:b w:val="0"/>
          <w:sz w:val="24"/>
          <w:szCs w:val="24"/>
        </w:rPr>
        <w:t>GB7251-1987   《低压成套开关设备》</w:t>
      </w:r>
      <w:bookmarkEnd w:id="24"/>
      <w:bookmarkEnd w:id="2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 w:name="_Toc9278"/>
      <w:bookmarkStart w:id="27" w:name="_Toc20926"/>
      <w:r>
        <w:rPr>
          <w:rFonts w:hint="eastAsia" w:ascii="宋体" w:hAnsi="宋体" w:eastAsia="宋体" w:cs="宋体"/>
          <w:b w:val="0"/>
          <w:sz w:val="24"/>
          <w:szCs w:val="24"/>
        </w:rPr>
        <w:t>GB7251.1-1997 《低压开关设备和控制设备》</w:t>
      </w:r>
      <w:bookmarkEnd w:id="26"/>
      <w:bookmarkEnd w:id="2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 w:name="_Toc31288"/>
      <w:bookmarkStart w:id="29" w:name="_Toc17052"/>
      <w:r>
        <w:rPr>
          <w:rFonts w:hint="eastAsia" w:ascii="宋体" w:hAnsi="宋体" w:eastAsia="宋体" w:cs="宋体"/>
          <w:b w:val="0"/>
          <w:sz w:val="24"/>
          <w:szCs w:val="24"/>
        </w:rPr>
        <w:t>GB9466       《低压成套开关设备基本试验方法》</w:t>
      </w:r>
      <w:bookmarkEnd w:id="28"/>
      <w:bookmarkEnd w:id="2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0" w:name="_Toc19853"/>
      <w:bookmarkStart w:id="31" w:name="_Toc22609"/>
      <w:r>
        <w:rPr>
          <w:rFonts w:hint="eastAsia" w:ascii="宋体" w:hAnsi="宋体" w:eastAsia="宋体" w:cs="宋体"/>
          <w:b w:val="0"/>
          <w:sz w:val="24"/>
          <w:szCs w:val="24"/>
        </w:rPr>
        <w:t>IEC439-1      《低压成套开关设备和控制设备》</w:t>
      </w:r>
      <w:bookmarkEnd w:id="30"/>
      <w:bookmarkEnd w:id="3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 w:name="_Toc30198"/>
      <w:bookmarkStart w:id="33" w:name="_Toc9718"/>
      <w:r>
        <w:rPr>
          <w:rFonts w:hint="eastAsia" w:ascii="宋体" w:hAnsi="宋体" w:eastAsia="宋体" w:cs="宋体"/>
          <w:b w:val="0"/>
          <w:sz w:val="24"/>
          <w:szCs w:val="24"/>
        </w:rPr>
        <w:t>ZBK36001-89  《低压抽出式成套开关设备》</w:t>
      </w:r>
      <w:bookmarkEnd w:id="32"/>
      <w:bookmarkEnd w:id="3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 w:name="_Toc31144"/>
      <w:bookmarkStart w:id="35" w:name="_Toc28404"/>
      <w:r>
        <w:rPr>
          <w:rFonts w:hint="eastAsia" w:ascii="宋体" w:hAnsi="宋体" w:eastAsia="宋体" w:cs="宋体"/>
          <w:b w:val="0"/>
          <w:sz w:val="24"/>
          <w:szCs w:val="24"/>
        </w:rPr>
        <w:t>GB1208       《电流互感器》</w:t>
      </w:r>
      <w:bookmarkEnd w:id="34"/>
      <w:bookmarkEnd w:id="3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6" w:name="_Toc24830"/>
      <w:bookmarkStart w:id="37" w:name="_Toc19940"/>
      <w:r>
        <w:rPr>
          <w:rFonts w:hint="eastAsia" w:ascii="宋体" w:hAnsi="宋体" w:eastAsia="宋体" w:cs="宋体"/>
          <w:b w:val="0"/>
          <w:sz w:val="24"/>
          <w:szCs w:val="24"/>
        </w:rPr>
        <w:t>GB11032      《交流无间隙金属氧化物避雷器》</w:t>
      </w:r>
      <w:bookmarkEnd w:id="36"/>
      <w:bookmarkEnd w:id="3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8" w:name="_Toc5034"/>
      <w:bookmarkStart w:id="39" w:name="_Toc6338"/>
      <w:r>
        <w:rPr>
          <w:rFonts w:hint="eastAsia" w:ascii="宋体" w:hAnsi="宋体" w:eastAsia="宋体" w:cs="宋体"/>
          <w:b w:val="0"/>
          <w:sz w:val="24"/>
          <w:szCs w:val="24"/>
        </w:rPr>
        <w:t>DL/T 5222-2005 《导体和电器选择设计技术规定》</w:t>
      </w:r>
      <w:bookmarkEnd w:id="38"/>
      <w:bookmarkEnd w:id="3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40" w:name="_Toc10645"/>
      <w:bookmarkStart w:id="41" w:name="_Toc6398"/>
      <w:r>
        <w:rPr>
          <w:rFonts w:hint="eastAsia" w:ascii="宋体" w:hAnsi="宋体" w:eastAsia="宋体" w:cs="宋体"/>
          <w:b w:val="0"/>
          <w:sz w:val="24"/>
          <w:szCs w:val="24"/>
        </w:rPr>
        <w:t>DB37/T2216-2012 《10kV及以下电力用户受电工程技术规范》</w:t>
      </w:r>
      <w:bookmarkEnd w:id="40"/>
      <w:bookmarkEnd w:id="41"/>
    </w:p>
    <w:p>
      <w:pPr>
        <w:pStyle w:val="17"/>
        <w:spacing w:beforeLines="0"/>
        <w:rPr>
          <w:rFonts w:hint="eastAsia" w:ascii="宋体" w:hAnsi="宋体" w:eastAsia="宋体" w:cs="宋体"/>
          <w:sz w:val="24"/>
          <w:szCs w:val="24"/>
        </w:rPr>
      </w:pPr>
      <w:bookmarkStart w:id="42" w:name="_Toc384102415"/>
      <w:bookmarkStart w:id="43" w:name="_Toc416190236"/>
      <w:bookmarkStart w:id="44" w:name="_Toc416190163"/>
      <w:bookmarkStart w:id="45" w:name="_Toc405204663"/>
      <w:r>
        <w:rPr>
          <w:rFonts w:hint="eastAsia" w:ascii="宋体" w:hAnsi="宋体" w:eastAsia="宋体" w:cs="宋体"/>
          <w:sz w:val="24"/>
          <w:szCs w:val="24"/>
        </w:rPr>
        <w:t xml:space="preserve">   </w:t>
      </w:r>
      <w:bookmarkStart w:id="46" w:name="_Toc26128"/>
      <w:bookmarkStart w:id="47" w:name="_Toc28193"/>
      <w:r>
        <w:rPr>
          <w:rFonts w:hint="eastAsia" w:ascii="宋体" w:hAnsi="宋体" w:eastAsia="宋体" w:cs="宋体"/>
          <w:sz w:val="24"/>
          <w:szCs w:val="24"/>
        </w:rPr>
        <w:t>1.2.2、主要技术参数</w:t>
      </w:r>
      <w:bookmarkEnd w:id="42"/>
      <w:bookmarkEnd w:id="43"/>
      <w:bookmarkEnd w:id="44"/>
      <w:bookmarkEnd w:id="45"/>
      <w:bookmarkEnd w:id="46"/>
      <w:bookmarkEnd w:id="4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48" w:name="_Toc23070"/>
      <w:bookmarkStart w:id="49" w:name="_Toc18402"/>
      <w:r>
        <w:rPr>
          <w:rFonts w:hint="eastAsia" w:ascii="宋体" w:hAnsi="宋体" w:eastAsia="宋体" w:cs="宋体"/>
          <w:b w:val="0"/>
          <w:sz w:val="24"/>
          <w:szCs w:val="24"/>
        </w:rPr>
        <w:t>开关柜的主要参数</w:t>
      </w:r>
      <w:bookmarkEnd w:id="48"/>
      <w:bookmarkEnd w:id="4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0" w:name="_Toc21737"/>
      <w:bookmarkStart w:id="51" w:name="_Toc24334"/>
      <w:r>
        <w:rPr>
          <w:rFonts w:hint="eastAsia" w:ascii="宋体" w:hAnsi="宋体" w:eastAsia="宋体" w:cs="宋体"/>
          <w:b w:val="0"/>
          <w:sz w:val="24"/>
          <w:szCs w:val="24"/>
        </w:rPr>
        <w:t>2.1低压开关柜型式： MNS型</w:t>
      </w:r>
      <w:bookmarkEnd w:id="50"/>
      <w:bookmarkEnd w:id="5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2" w:name="_Toc9557"/>
      <w:bookmarkStart w:id="53" w:name="_Toc23664"/>
      <w:r>
        <w:rPr>
          <w:rFonts w:hint="eastAsia" w:ascii="宋体" w:hAnsi="宋体" w:eastAsia="宋体" w:cs="宋体"/>
          <w:b w:val="0"/>
          <w:sz w:val="24"/>
          <w:szCs w:val="24"/>
        </w:rPr>
        <w:t>2.2低压开关柜应满足的技术参数</w:t>
      </w:r>
      <w:bookmarkEnd w:id="52"/>
      <w:bookmarkEnd w:id="5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4" w:name="_Toc19212"/>
      <w:bookmarkStart w:id="55" w:name="_Toc24724"/>
      <w:r>
        <w:rPr>
          <w:rFonts w:hint="eastAsia" w:ascii="宋体" w:hAnsi="宋体" w:eastAsia="宋体" w:cs="宋体"/>
          <w:b w:val="0"/>
          <w:sz w:val="24"/>
          <w:szCs w:val="24"/>
        </w:rPr>
        <w:t xml:space="preserve"> 2.2.1额定电压：380/220V</w:t>
      </w:r>
      <w:bookmarkEnd w:id="54"/>
      <w:bookmarkEnd w:id="55"/>
      <w:r>
        <w:rPr>
          <w:rFonts w:hint="eastAsia" w:ascii="宋体" w:hAnsi="宋体" w:eastAsia="宋体" w:cs="宋体"/>
          <w:b w:val="0"/>
          <w:sz w:val="24"/>
          <w:szCs w:val="24"/>
        </w:rPr>
        <w:t xml:space="preserve"> </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6" w:name="_Toc31909"/>
      <w:bookmarkStart w:id="57" w:name="_Toc7296"/>
      <w:r>
        <w:rPr>
          <w:rFonts w:hint="eastAsia" w:ascii="宋体" w:hAnsi="宋体" w:eastAsia="宋体" w:cs="宋体"/>
          <w:b w:val="0"/>
          <w:sz w:val="24"/>
          <w:szCs w:val="24"/>
        </w:rPr>
        <w:t>2.2.2额定电流：详见设计院提供的380/220V配置接线图</w:t>
      </w:r>
      <w:bookmarkEnd w:id="56"/>
      <w:bookmarkEnd w:id="5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8" w:name="_Toc6783"/>
      <w:bookmarkStart w:id="59" w:name="_Toc1590"/>
      <w:r>
        <w:rPr>
          <w:rFonts w:hint="eastAsia" w:ascii="宋体" w:hAnsi="宋体" w:eastAsia="宋体" w:cs="宋体"/>
          <w:b w:val="0"/>
          <w:sz w:val="24"/>
          <w:szCs w:val="24"/>
        </w:rPr>
        <w:t>2.2.3.额定频率：50Hz</w:t>
      </w:r>
      <w:bookmarkEnd w:id="58"/>
      <w:bookmarkEnd w:id="59"/>
      <w:r>
        <w:rPr>
          <w:rFonts w:hint="eastAsia" w:ascii="宋体" w:hAnsi="宋体" w:eastAsia="宋体" w:cs="宋体"/>
          <w:b w:val="0"/>
          <w:sz w:val="24"/>
          <w:szCs w:val="24"/>
        </w:rPr>
        <w:t xml:space="preserve">                                                                               </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0" w:name="_Toc26672"/>
      <w:bookmarkStart w:id="61" w:name="_Toc32082"/>
      <w:r>
        <w:rPr>
          <w:rFonts w:hint="eastAsia" w:ascii="宋体" w:hAnsi="宋体" w:eastAsia="宋体" w:cs="宋体"/>
          <w:b w:val="0"/>
          <w:sz w:val="24"/>
          <w:szCs w:val="24"/>
        </w:rPr>
        <w:t>2.2.4.额定短路开断电流：Id≥65kA</w:t>
      </w:r>
      <w:bookmarkEnd w:id="60"/>
      <w:bookmarkEnd w:id="6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2" w:name="_Toc3027"/>
      <w:bookmarkStart w:id="63" w:name="_Toc5430"/>
      <w:r>
        <w:rPr>
          <w:rFonts w:hint="eastAsia" w:ascii="宋体" w:hAnsi="宋体" w:eastAsia="宋体" w:cs="宋体"/>
          <w:b w:val="0"/>
          <w:sz w:val="24"/>
          <w:szCs w:val="24"/>
        </w:rPr>
        <w:t>2.2.5.额定热稳定电流和时间：Ir≥65kA</w:t>
      </w:r>
      <w:bookmarkEnd w:id="62"/>
      <w:bookmarkEnd w:id="6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4" w:name="_Toc18452"/>
      <w:bookmarkStart w:id="65" w:name="_Toc13174"/>
      <w:r>
        <w:rPr>
          <w:rFonts w:hint="eastAsia" w:ascii="宋体" w:hAnsi="宋体" w:eastAsia="宋体" w:cs="宋体"/>
          <w:b w:val="0"/>
          <w:sz w:val="24"/>
          <w:szCs w:val="24"/>
        </w:rPr>
        <w:t>2.2.6.分、合闸机构和辅助回路的额定电压：AC220V。</w:t>
      </w:r>
      <w:bookmarkEnd w:id="64"/>
      <w:bookmarkEnd w:id="6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6" w:name="_Toc6872"/>
      <w:bookmarkStart w:id="67" w:name="_Toc10568"/>
      <w:r>
        <w:rPr>
          <w:rFonts w:hint="eastAsia" w:ascii="宋体" w:hAnsi="宋体" w:eastAsia="宋体" w:cs="宋体"/>
          <w:b w:val="0"/>
          <w:sz w:val="24"/>
          <w:szCs w:val="24"/>
        </w:rPr>
        <w:t>2.2.7.所有控制回路和接点应采用600V绝缘等级。</w:t>
      </w:r>
      <w:bookmarkEnd w:id="66"/>
      <w:bookmarkEnd w:id="6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8" w:name="_Toc18436"/>
      <w:bookmarkStart w:id="69" w:name="_Toc7157"/>
      <w:r>
        <w:rPr>
          <w:rFonts w:hint="eastAsia" w:ascii="宋体" w:hAnsi="宋体" w:eastAsia="宋体" w:cs="宋体"/>
          <w:b w:val="0"/>
          <w:sz w:val="24"/>
          <w:szCs w:val="24"/>
        </w:rPr>
        <w:t>2.2.8.MNS 型低压开关柜柜体防护等级不低于IP40。</w:t>
      </w:r>
      <w:bookmarkEnd w:id="68"/>
      <w:bookmarkEnd w:id="69"/>
    </w:p>
    <w:p>
      <w:pPr>
        <w:pStyle w:val="17"/>
        <w:spacing w:beforeLines="0"/>
        <w:rPr>
          <w:rFonts w:hint="eastAsia" w:ascii="宋体" w:hAnsi="宋体" w:eastAsia="宋体" w:cs="宋体"/>
          <w:sz w:val="24"/>
          <w:szCs w:val="24"/>
        </w:rPr>
      </w:pPr>
      <w:r>
        <w:rPr>
          <w:rFonts w:hint="eastAsia" w:ascii="宋体" w:hAnsi="宋体" w:eastAsia="宋体" w:cs="宋体"/>
          <w:sz w:val="24"/>
          <w:szCs w:val="24"/>
        </w:rPr>
        <w:t xml:space="preserve">   </w:t>
      </w:r>
      <w:bookmarkStart w:id="70" w:name="_Toc23543"/>
      <w:bookmarkStart w:id="71" w:name="_Toc13827"/>
      <w:r>
        <w:rPr>
          <w:rFonts w:hint="eastAsia" w:ascii="宋体" w:hAnsi="宋体" w:eastAsia="宋体" w:cs="宋体"/>
          <w:sz w:val="24"/>
          <w:szCs w:val="24"/>
        </w:rPr>
        <w:t>1.3.3、柜内主要元器件技术要求：</w:t>
      </w:r>
      <w:bookmarkEnd w:id="70"/>
      <w:bookmarkEnd w:id="7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72" w:name="_Toc15717"/>
      <w:bookmarkStart w:id="73" w:name="_Toc12998"/>
      <w:r>
        <w:rPr>
          <w:rFonts w:hint="eastAsia" w:ascii="宋体" w:hAnsi="宋体" w:eastAsia="宋体" w:cs="宋体"/>
          <w:b w:val="0"/>
          <w:sz w:val="24"/>
          <w:szCs w:val="24"/>
        </w:rPr>
        <w:t>（1）开关柜柜内一、二次元器件、断路器型号、各断路器分断容量及脱扣器附件等性能、参数符合IEC60947-2及GB14048断路器标准，满足图纸设计技术要求。</w:t>
      </w:r>
      <w:bookmarkEnd w:id="72"/>
      <w:bookmarkEnd w:id="7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74" w:name="_Toc12854"/>
      <w:bookmarkStart w:id="75" w:name="_Toc14375"/>
      <w:r>
        <w:rPr>
          <w:rFonts w:hint="eastAsia" w:ascii="宋体" w:hAnsi="宋体" w:eastAsia="宋体" w:cs="宋体"/>
          <w:b w:val="0"/>
          <w:sz w:val="24"/>
          <w:szCs w:val="24"/>
        </w:rPr>
        <w:t>（2) 额定参数</w:t>
      </w:r>
      <w:bookmarkEnd w:id="74"/>
      <w:bookmarkEnd w:id="7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76" w:name="_Toc30118"/>
      <w:bookmarkStart w:id="77" w:name="_Toc24499"/>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1 \* GB3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①</w:t>
      </w:r>
      <w:r>
        <w:rPr>
          <w:rFonts w:hint="eastAsia" w:ascii="宋体" w:hAnsi="宋体" w:eastAsia="宋体" w:cs="宋体"/>
          <w:b w:val="0"/>
          <w:sz w:val="24"/>
          <w:szCs w:val="24"/>
        </w:rPr>
        <w:fldChar w:fldCharType="end"/>
      </w:r>
      <w:r>
        <w:rPr>
          <w:rFonts w:hint="eastAsia" w:ascii="宋体" w:hAnsi="宋体" w:eastAsia="宋体" w:cs="宋体"/>
          <w:b w:val="0"/>
          <w:sz w:val="24"/>
          <w:szCs w:val="24"/>
        </w:rPr>
        <w:t>框架断路器</w:t>
      </w:r>
      <w:bookmarkEnd w:id="76"/>
      <w:bookmarkEnd w:id="77"/>
    </w:p>
    <w:p>
      <w:pPr>
        <w:pStyle w:val="17"/>
        <w:spacing w:beforeLines="0"/>
        <w:ind w:firstLine="480" w:firstLineChars="200"/>
        <w:rPr>
          <w:rFonts w:hint="eastAsia" w:ascii="宋体" w:hAnsi="宋体" w:eastAsia="宋体" w:cs="宋体"/>
          <w:b w:val="0"/>
          <w:sz w:val="24"/>
          <w:szCs w:val="24"/>
        </w:rPr>
      </w:pPr>
      <w:bookmarkStart w:id="78" w:name="_Toc794"/>
      <w:bookmarkStart w:id="79" w:name="_Toc20668"/>
      <w:r>
        <w:rPr>
          <w:rFonts w:hint="eastAsia" w:ascii="宋体" w:hAnsi="宋体" w:eastAsia="宋体" w:cs="宋体"/>
          <w:b w:val="0"/>
          <w:sz w:val="24"/>
          <w:szCs w:val="24"/>
        </w:rPr>
        <w:t>断路器采用抽屉式、保证电动跳合闸,全系列的分断能力要Icw(1s)=Ics=100%Icu。</w:t>
      </w:r>
      <w:bookmarkEnd w:id="78"/>
      <w:bookmarkEnd w:id="7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0" w:name="_Toc823"/>
      <w:bookmarkStart w:id="81" w:name="_Toc5363"/>
      <w:r>
        <w:rPr>
          <w:rFonts w:hint="eastAsia" w:ascii="宋体" w:hAnsi="宋体" w:eastAsia="宋体" w:cs="宋体"/>
          <w:b w:val="0"/>
          <w:sz w:val="24"/>
          <w:szCs w:val="24"/>
        </w:rPr>
        <w:t>脱扣器带液晶显示功能，具有过载长延时、短路短延时、短路瞬时三段保护功能，并能够实现不少于10次脱扣跳闸历史记录。</w:t>
      </w:r>
      <w:bookmarkEnd w:id="80"/>
      <w:bookmarkEnd w:id="8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2" w:name="_Toc18712"/>
      <w:bookmarkStart w:id="83" w:name="_Toc4343"/>
      <w:r>
        <w:rPr>
          <w:rFonts w:hint="eastAsia" w:ascii="宋体" w:hAnsi="宋体" w:eastAsia="宋体" w:cs="宋体"/>
          <w:b w:val="0"/>
          <w:sz w:val="24"/>
          <w:szCs w:val="24"/>
        </w:rPr>
        <w:t>控制单元有宽阔的电流和时间调节范围。</w:t>
      </w:r>
      <w:bookmarkEnd w:id="82"/>
      <w:bookmarkEnd w:id="8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4" w:name="_Toc13073"/>
      <w:bookmarkStart w:id="85" w:name="_Toc2825"/>
      <w:r>
        <w:rPr>
          <w:rFonts w:hint="eastAsia" w:ascii="宋体" w:hAnsi="宋体" w:eastAsia="宋体" w:cs="宋体"/>
          <w:b w:val="0"/>
          <w:sz w:val="24"/>
          <w:szCs w:val="24"/>
        </w:rPr>
        <w:t>长延时</w:t>
      </w:r>
      <w:r>
        <w:rPr>
          <w:rFonts w:hint="eastAsia" w:ascii="宋体" w:hAnsi="宋体" w:eastAsia="宋体" w:cs="宋体"/>
          <w:b w:val="0"/>
          <w:sz w:val="24"/>
          <w:szCs w:val="24"/>
        </w:rPr>
        <w:tab/>
      </w:r>
      <w:r>
        <w:rPr>
          <w:rFonts w:hint="eastAsia" w:ascii="宋体" w:hAnsi="宋体" w:eastAsia="宋体" w:cs="宋体"/>
          <w:b w:val="0"/>
          <w:sz w:val="24"/>
          <w:szCs w:val="24"/>
        </w:rPr>
        <w:t>:0.4～1.0In</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短延时:1.5～10In</w:t>
      </w:r>
      <w:r>
        <w:rPr>
          <w:rFonts w:hint="eastAsia" w:ascii="宋体" w:hAnsi="宋体" w:eastAsia="宋体" w:cs="宋体"/>
          <w:b w:val="0"/>
          <w:sz w:val="24"/>
          <w:szCs w:val="24"/>
        </w:rPr>
        <w:tab/>
      </w:r>
      <w:r>
        <w:rPr>
          <w:rFonts w:hint="eastAsia" w:ascii="宋体" w:hAnsi="宋体" w:eastAsia="宋体" w:cs="宋体"/>
          <w:b w:val="0"/>
          <w:sz w:val="24"/>
          <w:szCs w:val="24"/>
        </w:rPr>
        <w:t xml:space="preserve">  </w:t>
      </w:r>
      <w:r>
        <w:rPr>
          <w:rFonts w:hint="eastAsia" w:ascii="宋体" w:hAnsi="宋体" w:eastAsia="宋体" w:cs="宋体"/>
          <w:b w:val="0"/>
          <w:sz w:val="24"/>
          <w:szCs w:val="24"/>
        </w:rPr>
        <w:tab/>
      </w:r>
      <w:r>
        <w:rPr>
          <w:rFonts w:hint="eastAsia" w:ascii="宋体" w:hAnsi="宋体" w:eastAsia="宋体" w:cs="宋体"/>
          <w:b w:val="0"/>
          <w:sz w:val="24"/>
          <w:szCs w:val="24"/>
        </w:rPr>
        <w:t>短路瞬时:2～15In</w:t>
      </w:r>
      <w:bookmarkEnd w:id="84"/>
      <w:bookmarkEnd w:id="8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6" w:name="_Toc31205"/>
      <w:bookmarkStart w:id="87" w:name="_Toc6087"/>
      <w:r>
        <w:rPr>
          <w:rFonts w:hint="eastAsia" w:ascii="宋体" w:hAnsi="宋体" w:eastAsia="宋体" w:cs="宋体"/>
          <w:b w:val="0"/>
          <w:sz w:val="24"/>
          <w:szCs w:val="24"/>
        </w:rPr>
        <w:t>额定绝缘电压(V)：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1000</w:t>
      </w:r>
      <w:bookmarkEnd w:id="86"/>
      <w:bookmarkEnd w:id="8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8" w:name="_Toc28875"/>
      <w:bookmarkStart w:id="89" w:name="_Toc12402"/>
      <w:r>
        <w:rPr>
          <w:rFonts w:hint="eastAsia" w:ascii="宋体" w:hAnsi="宋体" w:eastAsia="宋体" w:cs="宋体"/>
          <w:b w:val="0"/>
          <w:sz w:val="24"/>
          <w:szCs w:val="24"/>
        </w:rPr>
        <w:t>额定冲击耐受电压Ui（KV)              12</w:t>
      </w:r>
      <w:bookmarkEnd w:id="88"/>
      <w:bookmarkEnd w:id="8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0" w:name="_Toc29788"/>
      <w:bookmarkStart w:id="91" w:name="_Toc17208"/>
      <w:r>
        <w:rPr>
          <w:rFonts w:hint="eastAsia" w:ascii="宋体" w:hAnsi="宋体" w:eastAsia="宋体" w:cs="宋体"/>
          <w:b w:val="0"/>
          <w:sz w:val="24"/>
          <w:szCs w:val="24"/>
        </w:rPr>
        <w:t>额定工作电压(V)：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690</w:t>
      </w:r>
      <w:bookmarkEnd w:id="90"/>
      <w:bookmarkEnd w:id="9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2" w:name="_Toc6107"/>
      <w:bookmarkStart w:id="93" w:name="_Toc25078"/>
      <w:r>
        <w:rPr>
          <w:rFonts w:hint="eastAsia" w:ascii="宋体" w:hAnsi="宋体" w:eastAsia="宋体" w:cs="宋体"/>
          <w:b w:val="0"/>
          <w:sz w:val="24"/>
          <w:szCs w:val="24"/>
        </w:rPr>
        <w:t>极数：</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 xml:space="preserve"> 3、4极</w:t>
      </w:r>
      <w:bookmarkEnd w:id="92"/>
      <w:bookmarkEnd w:id="9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4" w:name="_Toc30811"/>
      <w:bookmarkStart w:id="95" w:name="_Toc11733"/>
      <w:r>
        <w:rPr>
          <w:rFonts w:hint="eastAsia" w:ascii="宋体" w:hAnsi="宋体" w:eastAsia="宋体" w:cs="宋体"/>
          <w:b w:val="0"/>
          <w:sz w:val="24"/>
          <w:szCs w:val="24"/>
        </w:rPr>
        <w:t>额定频率(Hz)：</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50</w:t>
      </w:r>
      <w:bookmarkEnd w:id="94"/>
      <w:bookmarkEnd w:id="9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6" w:name="_Toc16373"/>
      <w:bookmarkStart w:id="97" w:name="_Toc32573"/>
      <w:r>
        <w:rPr>
          <w:rFonts w:hint="eastAsia" w:ascii="宋体" w:hAnsi="宋体" w:eastAsia="宋体" w:cs="宋体"/>
          <w:b w:val="0"/>
          <w:sz w:val="24"/>
          <w:szCs w:val="24"/>
        </w:rPr>
        <w:t>额定极限短路分断能力Icu(kA)：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≥65（400V)</w:t>
      </w:r>
      <w:bookmarkEnd w:id="96"/>
      <w:bookmarkEnd w:id="9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8" w:name="_Toc19744"/>
      <w:bookmarkStart w:id="99" w:name="_Toc26260"/>
      <w:r>
        <w:rPr>
          <w:rFonts w:hint="eastAsia" w:ascii="宋体" w:hAnsi="宋体" w:eastAsia="宋体" w:cs="宋体"/>
          <w:b w:val="0"/>
          <w:sz w:val="24"/>
          <w:szCs w:val="24"/>
        </w:rPr>
        <w:t>额定运行短路分断能力Ics(kA)：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≥65（400V)</w:t>
      </w:r>
      <w:bookmarkEnd w:id="98"/>
      <w:bookmarkEnd w:id="9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0" w:name="_Toc23532"/>
      <w:bookmarkStart w:id="101" w:name="_Toc28167"/>
      <w:r>
        <w:rPr>
          <w:rFonts w:hint="eastAsia" w:ascii="宋体" w:hAnsi="宋体" w:eastAsia="宋体" w:cs="宋体"/>
          <w:b w:val="0"/>
          <w:sz w:val="24"/>
          <w:szCs w:val="24"/>
        </w:rPr>
        <w:t>额定短时耐受电流Icw（KA/1S)       ≥65（400V)</w:t>
      </w:r>
      <w:bookmarkEnd w:id="100"/>
      <w:bookmarkEnd w:id="10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2" w:name="_Toc18896"/>
      <w:bookmarkStart w:id="103" w:name="_Toc19193"/>
      <w:r>
        <w:rPr>
          <w:rFonts w:hint="eastAsia" w:ascii="宋体" w:hAnsi="宋体" w:eastAsia="宋体" w:cs="宋体"/>
          <w:b w:val="0"/>
          <w:sz w:val="24"/>
          <w:szCs w:val="24"/>
        </w:rPr>
        <w:t>机械寿命(千次)：</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≥20</w:t>
      </w:r>
      <w:bookmarkEnd w:id="102"/>
      <w:bookmarkEnd w:id="10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4" w:name="_Toc14782"/>
      <w:bookmarkStart w:id="105" w:name="_Toc5940"/>
      <w:r>
        <w:rPr>
          <w:rFonts w:hint="eastAsia" w:ascii="宋体" w:hAnsi="宋体" w:eastAsia="宋体" w:cs="宋体"/>
          <w:b w:val="0"/>
          <w:sz w:val="24"/>
          <w:szCs w:val="24"/>
        </w:rPr>
        <w:t>电气寿命(千次)：</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≥10(415V)</w:t>
      </w:r>
      <w:bookmarkEnd w:id="104"/>
      <w:bookmarkEnd w:id="10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6" w:name="_Toc4735"/>
      <w:bookmarkStart w:id="107" w:name="_Toc25558"/>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2 \* GB3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②</w:t>
      </w:r>
      <w:r>
        <w:rPr>
          <w:rFonts w:hint="eastAsia" w:ascii="宋体" w:hAnsi="宋体" w:eastAsia="宋体" w:cs="宋体"/>
          <w:b w:val="0"/>
          <w:sz w:val="24"/>
          <w:szCs w:val="24"/>
        </w:rPr>
        <w:fldChar w:fldCharType="end"/>
      </w:r>
      <w:r>
        <w:rPr>
          <w:rFonts w:hint="eastAsia" w:ascii="宋体" w:hAnsi="宋体" w:eastAsia="宋体" w:cs="宋体"/>
          <w:b w:val="0"/>
          <w:sz w:val="24"/>
          <w:szCs w:val="24"/>
        </w:rPr>
        <w:t>塑壳断路器</w:t>
      </w:r>
      <w:bookmarkEnd w:id="106"/>
      <w:bookmarkEnd w:id="10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8" w:name="_Toc25892"/>
      <w:bookmarkStart w:id="109" w:name="_Toc487"/>
      <w:r>
        <w:rPr>
          <w:rFonts w:hint="eastAsia" w:ascii="宋体" w:hAnsi="宋体" w:eastAsia="宋体" w:cs="宋体"/>
          <w:b w:val="0"/>
          <w:sz w:val="24"/>
          <w:szCs w:val="24"/>
        </w:rPr>
        <w:t>塑壳断路器采用固定式, 脱扣器采用热磁脱扣器；为更好保证系统稳定及维护使用安全，全系列塑壳断路器应为零飞弧的限流型断路器，短路故障时要求最短时间内脱扣，并且具有优良的绝缘特性。</w:t>
      </w:r>
      <w:bookmarkEnd w:id="108"/>
      <w:bookmarkEnd w:id="10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0" w:name="_Toc5221"/>
      <w:bookmarkStart w:id="111" w:name="_Toc26804"/>
      <w:r>
        <w:rPr>
          <w:rFonts w:hint="eastAsia" w:ascii="宋体" w:hAnsi="宋体" w:eastAsia="宋体" w:cs="宋体"/>
          <w:b w:val="0"/>
          <w:sz w:val="24"/>
          <w:szCs w:val="24"/>
        </w:rPr>
        <w:t>额定绝缘电压(V)：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800</w:t>
      </w:r>
      <w:bookmarkEnd w:id="110"/>
      <w:bookmarkEnd w:id="11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2" w:name="_Toc25515"/>
      <w:bookmarkStart w:id="113" w:name="_Toc25946"/>
      <w:r>
        <w:rPr>
          <w:rFonts w:hint="eastAsia" w:ascii="宋体" w:hAnsi="宋体" w:eastAsia="宋体" w:cs="宋体"/>
          <w:b w:val="0"/>
          <w:sz w:val="24"/>
          <w:szCs w:val="24"/>
        </w:rPr>
        <w:t>额定工作电压(V)：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690</w:t>
      </w:r>
      <w:bookmarkEnd w:id="112"/>
      <w:bookmarkEnd w:id="11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4" w:name="_Toc24664"/>
      <w:bookmarkStart w:id="115" w:name="_Toc5886"/>
      <w:r>
        <w:rPr>
          <w:rFonts w:hint="eastAsia" w:ascii="宋体" w:hAnsi="宋体" w:eastAsia="宋体" w:cs="宋体"/>
          <w:b w:val="0"/>
          <w:sz w:val="24"/>
          <w:szCs w:val="24"/>
        </w:rPr>
        <w:t>极数：</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3、4极</w:t>
      </w:r>
      <w:bookmarkEnd w:id="114"/>
      <w:bookmarkEnd w:id="11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6" w:name="_Toc18364"/>
      <w:bookmarkStart w:id="117" w:name="_Toc25435"/>
      <w:r>
        <w:rPr>
          <w:rFonts w:hint="eastAsia" w:ascii="宋体" w:hAnsi="宋体" w:eastAsia="宋体" w:cs="宋体"/>
          <w:b w:val="0"/>
          <w:sz w:val="24"/>
          <w:szCs w:val="24"/>
        </w:rPr>
        <w:t>额定频率(Hz)：</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50</w:t>
      </w:r>
      <w:bookmarkEnd w:id="116"/>
      <w:bookmarkEnd w:id="11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8" w:name="_Toc18151"/>
      <w:bookmarkStart w:id="119" w:name="_Toc2648"/>
      <w:r>
        <w:rPr>
          <w:rFonts w:hint="eastAsia" w:ascii="宋体" w:hAnsi="宋体" w:eastAsia="宋体" w:cs="宋体"/>
          <w:b w:val="0"/>
          <w:sz w:val="24"/>
          <w:szCs w:val="24"/>
        </w:rPr>
        <w:t>额定极限短路分断能力Icu(kA)：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≥50（400V)</w:t>
      </w:r>
      <w:bookmarkEnd w:id="118"/>
      <w:bookmarkEnd w:id="11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0" w:name="_Toc11786"/>
      <w:bookmarkStart w:id="121" w:name="_Toc8661"/>
      <w:r>
        <w:rPr>
          <w:rFonts w:hint="eastAsia" w:ascii="宋体" w:hAnsi="宋体" w:eastAsia="宋体" w:cs="宋体"/>
          <w:b w:val="0"/>
          <w:sz w:val="24"/>
          <w:szCs w:val="24"/>
        </w:rPr>
        <w:t>额定运行短路分断能力Ics(kA)：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≥25（400V)</w:t>
      </w:r>
      <w:bookmarkEnd w:id="120"/>
      <w:bookmarkEnd w:id="12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2" w:name="_Toc31911"/>
      <w:bookmarkStart w:id="123" w:name="_Toc25590"/>
      <w:r>
        <w:rPr>
          <w:rFonts w:hint="eastAsia" w:ascii="宋体" w:hAnsi="宋体" w:eastAsia="宋体" w:cs="宋体"/>
          <w:b w:val="0"/>
          <w:sz w:val="24"/>
          <w:szCs w:val="24"/>
        </w:rPr>
        <w:t>机械寿命(千次)：</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≥20</w:t>
      </w:r>
      <w:bookmarkEnd w:id="122"/>
      <w:bookmarkEnd w:id="12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4" w:name="_Toc14842"/>
      <w:bookmarkStart w:id="125" w:name="_Toc12019"/>
      <w:r>
        <w:rPr>
          <w:rFonts w:hint="eastAsia" w:ascii="宋体" w:hAnsi="宋体" w:eastAsia="宋体" w:cs="宋体"/>
          <w:b w:val="0"/>
          <w:sz w:val="24"/>
          <w:szCs w:val="24"/>
        </w:rPr>
        <w:t>电气寿命(千次)：</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≥8(415V)</w:t>
      </w:r>
      <w:bookmarkEnd w:id="124"/>
      <w:bookmarkEnd w:id="12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6" w:name="_Toc32538"/>
      <w:bookmarkStart w:id="127" w:name="_Toc35"/>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3 \* GB3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③</w:t>
      </w:r>
      <w:r>
        <w:rPr>
          <w:rFonts w:hint="eastAsia" w:ascii="宋体" w:hAnsi="宋体" w:eastAsia="宋体" w:cs="宋体"/>
          <w:b w:val="0"/>
          <w:sz w:val="24"/>
          <w:szCs w:val="24"/>
        </w:rPr>
        <w:fldChar w:fldCharType="end"/>
      </w:r>
      <w:r>
        <w:rPr>
          <w:rFonts w:hint="eastAsia" w:ascii="宋体" w:hAnsi="宋体" w:eastAsia="宋体" w:cs="宋体"/>
          <w:b w:val="0"/>
          <w:sz w:val="24"/>
          <w:szCs w:val="24"/>
        </w:rPr>
        <w:t>电流互感器</w:t>
      </w:r>
      <w:bookmarkEnd w:id="126"/>
      <w:bookmarkEnd w:id="12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8" w:name="_Toc19499"/>
      <w:bookmarkStart w:id="129" w:name="_Toc25286"/>
      <w:r>
        <w:rPr>
          <w:rFonts w:hint="eastAsia" w:ascii="宋体" w:hAnsi="宋体" w:eastAsia="宋体" w:cs="宋体"/>
          <w:b w:val="0"/>
          <w:sz w:val="24"/>
          <w:szCs w:val="24"/>
        </w:rPr>
        <w:t>额定工作电压(kV)：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0.66</w:t>
      </w:r>
      <w:bookmarkEnd w:id="128"/>
      <w:bookmarkEnd w:id="12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0" w:name="_Toc622"/>
      <w:bookmarkStart w:id="131" w:name="_Toc21670"/>
      <w:r>
        <w:rPr>
          <w:rFonts w:hint="eastAsia" w:ascii="宋体" w:hAnsi="宋体" w:eastAsia="宋体" w:cs="宋体"/>
          <w:b w:val="0"/>
          <w:sz w:val="24"/>
          <w:szCs w:val="24"/>
        </w:rPr>
        <w:t>额定一次电流(A)：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各规格（根据图纸确定）</w:t>
      </w:r>
      <w:bookmarkEnd w:id="130"/>
      <w:bookmarkEnd w:id="13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2" w:name="_Toc15963"/>
      <w:bookmarkStart w:id="133" w:name="_Toc10111"/>
      <w:r>
        <w:rPr>
          <w:rFonts w:hint="eastAsia" w:ascii="宋体" w:hAnsi="宋体" w:eastAsia="宋体" w:cs="宋体"/>
          <w:b w:val="0"/>
          <w:sz w:val="24"/>
          <w:szCs w:val="24"/>
        </w:rPr>
        <w:t>额定容量(VA):                       5</w:t>
      </w:r>
      <w:bookmarkEnd w:id="132"/>
      <w:bookmarkEnd w:id="13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4" w:name="_Toc3274"/>
      <w:bookmarkStart w:id="135" w:name="_Toc2200"/>
      <w:r>
        <w:rPr>
          <w:rFonts w:hint="eastAsia" w:ascii="宋体" w:hAnsi="宋体" w:eastAsia="宋体" w:cs="宋体"/>
          <w:b w:val="0"/>
          <w:sz w:val="24"/>
          <w:szCs w:val="24"/>
        </w:rPr>
        <w:t>额定二次电流(A)：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 xml:space="preserve"> 5</w:t>
      </w:r>
      <w:bookmarkEnd w:id="134"/>
      <w:bookmarkEnd w:id="13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6" w:name="_Toc963"/>
      <w:bookmarkStart w:id="137" w:name="_Toc7000"/>
      <w:r>
        <w:rPr>
          <w:rFonts w:hint="eastAsia" w:ascii="宋体" w:hAnsi="宋体" w:eastAsia="宋体" w:cs="宋体"/>
          <w:b w:val="0"/>
          <w:sz w:val="24"/>
          <w:szCs w:val="24"/>
        </w:rPr>
        <w:t>额定频率(Hz)：</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50</w:t>
      </w:r>
      <w:bookmarkEnd w:id="136"/>
      <w:bookmarkEnd w:id="13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8" w:name="_Toc27789"/>
      <w:bookmarkStart w:id="139" w:name="_Toc18634"/>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4 \* GB3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④</w:t>
      </w:r>
      <w:r>
        <w:rPr>
          <w:rFonts w:hint="eastAsia" w:ascii="宋体" w:hAnsi="宋体" w:eastAsia="宋体" w:cs="宋体"/>
          <w:b w:val="0"/>
          <w:sz w:val="24"/>
          <w:szCs w:val="24"/>
        </w:rPr>
        <w:fldChar w:fldCharType="end"/>
      </w:r>
      <w:r>
        <w:rPr>
          <w:rFonts w:hint="eastAsia" w:ascii="宋体" w:hAnsi="宋体" w:eastAsia="宋体" w:cs="宋体"/>
          <w:b w:val="0"/>
          <w:sz w:val="24"/>
          <w:szCs w:val="24"/>
        </w:rPr>
        <w:t>浪涌保护器</w:t>
      </w:r>
      <w:bookmarkEnd w:id="138"/>
      <w:bookmarkEnd w:id="13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0" w:name="_Toc18834"/>
      <w:bookmarkStart w:id="141" w:name="_Toc6593"/>
      <w:r>
        <w:rPr>
          <w:rFonts w:hint="eastAsia" w:ascii="宋体" w:hAnsi="宋体" w:eastAsia="宋体" w:cs="宋体"/>
          <w:b w:val="0"/>
          <w:sz w:val="24"/>
          <w:szCs w:val="24"/>
        </w:rPr>
        <w:t>浪涌保护器为箱式保护单元。</w:t>
      </w:r>
      <w:bookmarkEnd w:id="140"/>
      <w:bookmarkEnd w:id="14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2" w:name="_Toc10589"/>
      <w:bookmarkStart w:id="143" w:name="_Toc15696"/>
      <w:r>
        <w:rPr>
          <w:rFonts w:hint="eastAsia" w:ascii="宋体" w:hAnsi="宋体" w:eastAsia="宋体" w:cs="宋体"/>
          <w:b w:val="0"/>
          <w:sz w:val="24"/>
          <w:szCs w:val="24"/>
        </w:rPr>
        <w:t>额定工作电压Un(V)：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240/460V</w:t>
      </w:r>
      <w:bookmarkEnd w:id="142"/>
      <w:bookmarkEnd w:id="14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4" w:name="_Toc2002"/>
      <w:bookmarkStart w:id="145" w:name="_Toc3777"/>
      <w:r>
        <w:rPr>
          <w:rFonts w:hint="eastAsia" w:ascii="宋体" w:hAnsi="宋体" w:eastAsia="宋体" w:cs="宋体"/>
          <w:b w:val="0"/>
          <w:sz w:val="24"/>
          <w:szCs w:val="24"/>
        </w:rPr>
        <w:t>相数：</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4</w:t>
      </w:r>
      <w:bookmarkEnd w:id="144"/>
      <w:bookmarkEnd w:id="14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6" w:name="_Toc3019"/>
      <w:bookmarkStart w:id="147" w:name="_Toc10142"/>
      <w:r>
        <w:rPr>
          <w:rFonts w:hint="eastAsia" w:ascii="宋体" w:hAnsi="宋体" w:eastAsia="宋体" w:cs="宋体"/>
          <w:b w:val="0"/>
          <w:sz w:val="24"/>
          <w:szCs w:val="24"/>
        </w:rPr>
        <w:t>安装方式：</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并联</w:t>
      </w:r>
      <w:bookmarkEnd w:id="146"/>
      <w:bookmarkEnd w:id="14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8" w:name="_Toc15337"/>
      <w:bookmarkStart w:id="149" w:name="_Toc3143"/>
      <w:r>
        <w:rPr>
          <w:rFonts w:hint="eastAsia" w:ascii="宋体" w:hAnsi="宋体" w:eastAsia="宋体" w:cs="宋体"/>
          <w:b w:val="0"/>
          <w:sz w:val="24"/>
          <w:szCs w:val="24"/>
        </w:rPr>
        <w:t>额定放电电流(kA/相)(8/20us)：</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 xml:space="preserve">    100</w:t>
      </w:r>
      <w:bookmarkEnd w:id="148"/>
      <w:bookmarkEnd w:id="14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50" w:name="_Toc3855"/>
      <w:bookmarkStart w:id="151" w:name="_Toc26184"/>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5 \* GB3 \* MERGEFORMAT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⑤</w:t>
      </w:r>
      <w:r>
        <w:rPr>
          <w:rFonts w:hint="eastAsia" w:ascii="宋体" w:hAnsi="宋体" w:eastAsia="宋体" w:cs="宋体"/>
          <w:b w:val="0"/>
          <w:sz w:val="24"/>
          <w:szCs w:val="24"/>
        </w:rPr>
        <w:fldChar w:fldCharType="end"/>
      </w:r>
      <w:r>
        <w:rPr>
          <w:rFonts w:hint="eastAsia" w:ascii="宋体" w:hAnsi="宋体" w:eastAsia="宋体" w:cs="宋体"/>
          <w:b w:val="0"/>
          <w:sz w:val="24"/>
          <w:szCs w:val="24"/>
        </w:rPr>
        <w:t>显示仪表</w:t>
      </w:r>
      <w:bookmarkEnd w:id="150"/>
      <w:bookmarkEnd w:id="151"/>
    </w:p>
    <w:p>
      <w:pPr>
        <w:pStyle w:val="17"/>
        <w:spacing w:beforeLines="0"/>
        <w:rPr>
          <w:rFonts w:hint="eastAsia" w:ascii="宋体" w:hAnsi="宋体" w:eastAsia="宋体" w:cs="宋体"/>
          <w:b w:val="0"/>
          <w:sz w:val="24"/>
          <w:szCs w:val="24"/>
        </w:rPr>
      </w:pPr>
      <w:bookmarkStart w:id="152" w:name="_Toc977"/>
      <w:bookmarkStart w:id="153" w:name="_Toc8059"/>
      <w:r>
        <w:rPr>
          <w:rFonts w:hint="eastAsia" w:ascii="宋体" w:hAnsi="宋体" w:eastAsia="宋体" w:cs="宋体"/>
          <w:b w:val="0"/>
          <w:sz w:val="24"/>
          <w:szCs w:val="24"/>
        </w:rPr>
        <w:t>进线、母联、电容器及所有出线回路智能仪表需实现以下功能：</w:t>
      </w:r>
      <w:bookmarkEnd w:id="152"/>
      <w:bookmarkEnd w:id="15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a、测量精度：电压0.2、电流0.2、有功电能0.5S级。</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b、三相电压、三相电流、三相有功功率、三相无功功率、三相功率因数、三相基波功率因数、三相电压相角、三相电流相角、正向有功电能、反向有功电能、正向无功电能、反向无功电能.</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c、标准的RS485通讯接口，通讯规约为Modbus</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54" w:name="_Toc20640"/>
      <w:bookmarkStart w:id="155" w:name="_Toc31232"/>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6 \* GB3 \* MERGEFORMAT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⑥</w:t>
      </w:r>
      <w:r>
        <w:rPr>
          <w:rFonts w:hint="eastAsia" w:ascii="宋体" w:hAnsi="宋体" w:eastAsia="宋体" w:cs="宋体"/>
          <w:b w:val="0"/>
          <w:sz w:val="24"/>
          <w:szCs w:val="24"/>
        </w:rPr>
        <w:fldChar w:fldCharType="end"/>
      </w:r>
      <w:r>
        <w:rPr>
          <w:rFonts w:hint="eastAsia" w:ascii="宋体" w:hAnsi="宋体" w:eastAsia="宋体" w:cs="宋体"/>
          <w:b w:val="0"/>
          <w:sz w:val="24"/>
          <w:szCs w:val="24"/>
        </w:rPr>
        <w:t>无功补偿装置</w:t>
      </w:r>
      <w:bookmarkEnd w:id="154"/>
      <w:bookmarkEnd w:id="155"/>
      <w:r>
        <w:rPr>
          <w:rFonts w:hint="eastAsia" w:ascii="宋体" w:hAnsi="宋体" w:eastAsia="宋体" w:cs="宋体"/>
          <w:b w:val="0"/>
          <w:sz w:val="24"/>
          <w:szCs w:val="24"/>
        </w:rPr>
        <w:t xml:space="preserve">   </w:t>
      </w:r>
    </w:p>
    <w:p>
      <w:pPr>
        <w:pStyle w:val="17"/>
        <w:spacing w:beforeLines="0"/>
        <w:ind w:firstLine="480" w:firstLineChars="200"/>
        <w:rPr>
          <w:rFonts w:hint="eastAsia" w:ascii="宋体" w:hAnsi="宋体" w:eastAsia="宋体" w:cs="宋体"/>
          <w:b w:val="0"/>
          <w:sz w:val="24"/>
          <w:szCs w:val="24"/>
        </w:rPr>
      </w:pPr>
      <w:bookmarkStart w:id="156" w:name="_Toc30235"/>
      <w:bookmarkStart w:id="157" w:name="_Toc13874"/>
      <w:r>
        <w:rPr>
          <w:rFonts w:hint="eastAsia" w:ascii="宋体" w:hAnsi="宋体" w:eastAsia="宋体" w:cs="宋体"/>
          <w:b w:val="0"/>
          <w:sz w:val="24"/>
          <w:szCs w:val="24"/>
        </w:rPr>
        <w:t>采用智能型（无触点）免维护自动补偿装置，具备自动过零投切、智能监测以及抑制谐波等功能，无功功率补偿柜选型范围：电容器柜带7％电抗。</w:t>
      </w:r>
      <w:bookmarkEnd w:id="156"/>
      <w:bookmarkEnd w:id="157"/>
    </w:p>
    <w:p>
      <w:pPr>
        <w:pStyle w:val="17"/>
        <w:spacing w:beforeLines="0"/>
        <w:rPr>
          <w:rFonts w:hint="eastAsia" w:ascii="宋体" w:hAnsi="宋体" w:eastAsia="宋体" w:cs="宋体"/>
          <w:b w:val="0"/>
          <w:sz w:val="24"/>
          <w:szCs w:val="24"/>
        </w:rPr>
      </w:pPr>
      <w:bookmarkStart w:id="158" w:name="_Toc29437"/>
      <w:bookmarkStart w:id="159" w:name="_Toc4648"/>
      <w:r>
        <w:rPr>
          <w:rFonts w:hint="eastAsia" w:ascii="宋体" w:hAnsi="宋体" w:eastAsia="宋体" w:cs="宋体"/>
          <w:b w:val="0"/>
          <w:sz w:val="24"/>
          <w:szCs w:val="24"/>
        </w:rPr>
        <w:t>目标功率因数： &gt;0.95</w:t>
      </w:r>
      <w:bookmarkEnd w:id="158"/>
      <w:bookmarkEnd w:id="15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60" w:name="_Toc9031"/>
      <w:bookmarkStart w:id="161" w:name="_Toc28693"/>
      <w:r>
        <w:rPr>
          <w:rFonts w:hint="eastAsia" w:ascii="宋体" w:hAnsi="宋体" w:eastAsia="宋体" w:cs="宋体"/>
          <w:b w:val="0"/>
          <w:sz w:val="24"/>
          <w:szCs w:val="24"/>
        </w:rPr>
        <w:t xml:space="preserve">单路最小补偿容量：              </w:t>
      </w:r>
      <w:bookmarkEnd w:id="160"/>
      <w:bookmarkEnd w:id="161"/>
      <w:r>
        <w:rPr>
          <w:rFonts w:hint="eastAsia" w:ascii="宋体" w:hAnsi="宋体" w:eastAsia="宋体" w:cs="宋体"/>
          <w:b w:val="0"/>
          <w:sz w:val="24"/>
          <w:szCs w:val="24"/>
        </w:rPr>
        <w:t>20kvar</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62" w:name="_Toc4315"/>
      <w:bookmarkStart w:id="163" w:name="_Toc22147"/>
      <w:r>
        <w:rPr>
          <w:rFonts w:hint="eastAsia" w:ascii="宋体" w:hAnsi="宋体" w:eastAsia="宋体" w:cs="宋体"/>
          <w:b w:val="0"/>
          <w:sz w:val="24"/>
          <w:szCs w:val="24"/>
        </w:rPr>
        <w:t>单路最大补偿容量：              40</w:t>
      </w:r>
      <w:bookmarkEnd w:id="162"/>
      <w:bookmarkEnd w:id="163"/>
      <w:r>
        <w:rPr>
          <w:rFonts w:hint="eastAsia" w:ascii="宋体" w:hAnsi="宋体" w:eastAsia="宋体" w:cs="宋体"/>
          <w:b w:val="0"/>
          <w:sz w:val="24"/>
          <w:szCs w:val="24"/>
        </w:rPr>
        <w:t>kvar</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64" w:name="_Toc30072"/>
      <w:bookmarkStart w:id="165" w:name="_Toc8004"/>
      <w:r>
        <w:rPr>
          <w:rFonts w:hint="eastAsia" w:ascii="宋体" w:hAnsi="宋体" w:eastAsia="宋体" w:cs="宋体"/>
          <w:b w:val="0"/>
          <w:sz w:val="24"/>
          <w:szCs w:val="24"/>
        </w:rPr>
        <w:t>总补偿容量：  不低于图纸设计容量</w:t>
      </w:r>
      <w:bookmarkEnd w:id="164"/>
      <w:bookmarkEnd w:id="165"/>
      <w:r>
        <w:rPr>
          <w:rFonts w:hint="eastAsia" w:ascii="宋体" w:hAnsi="宋体" w:eastAsia="宋体" w:cs="宋体"/>
          <w:b w:val="0"/>
          <w:sz w:val="24"/>
          <w:szCs w:val="24"/>
        </w:rPr>
        <w:t>（单台容量及分组数量严格按照图纸配置）</w:t>
      </w:r>
    </w:p>
    <w:p>
      <w:pPr>
        <w:pStyle w:val="17"/>
        <w:spacing w:beforeLines="0"/>
        <w:ind w:firstLine="480" w:firstLineChars="200"/>
        <w:rPr>
          <w:rFonts w:hint="eastAsia" w:ascii="宋体" w:hAnsi="宋体" w:eastAsia="宋体" w:cs="宋体"/>
          <w:b w:val="0"/>
          <w:sz w:val="24"/>
          <w:szCs w:val="24"/>
        </w:rPr>
      </w:pPr>
      <w:bookmarkStart w:id="166" w:name="_Toc6868"/>
      <w:bookmarkStart w:id="167" w:name="_Toc1413"/>
      <w:r>
        <w:rPr>
          <w:rFonts w:hint="eastAsia" w:ascii="宋体" w:hAnsi="宋体" w:eastAsia="宋体" w:cs="宋体"/>
          <w:b w:val="0"/>
          <w:sz w:val="24"/>
          <w:szCs w:val="24"/>
        </w:rPr>
        <w:t>电抗器                        7%</w:t>
      </w:r>
      <w:bookmarkEnd w:id="166"/>
      <w:bookmarkEnd w:id="167"/>
    </w:p>
    <w:p>
      <w:pPr>
        <w:pStyle w:val="17"/>
        <w:spacing w:beforeLine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备注：谐波须控制在标准范围内，并提供合格的第三方检测报告</w:t>
      </w:r>
    </w:p>
    <w:p>
      <w:pPr>
        <w:pStyle w:val="17"/>
        <w:spacing w:beforeLines="0"/>
        <w:rPr>
          <w:rFonts w:hint="eastAsia" w:ascii="宋体" w:hAnsi="宋体" w:eastAsia="宋体" w:cs="宋体"/>
          <w:sz w:val="24"/>
          <w:szCs w:val="24"/>
        </w:rPr>
      </w:pPr>
      <w:r>
        <w:rPr>
          <w:rFonts w:hint="eastAsia" w:ascii="宋体" w:hAnsi="宋体" w:eastAsia="宋体" w:cs="宋体"/>
          <w:sz w:val="24"/>
          <w:szCs w:val="24"/>
        </w:rPr>
        <w:t xml:space="preserve"> </w:t>
      </w:r>
      <w:bookmarkStart w:id="168" w:name="_Toc19058"/>
      <w:bookmarkStart w:id="169" w:name="_Toc416190238"/>
      <w:bookmarkStart w:id="170" w:name="_Toc416190165"/>
      <w:bookmarkStart w:id="171" w:name="_Toc405204665"/>
      <w:bookmarkStart w:id="172" w:name="_Toc2035"/>
      <w:r>
        <w:rPr>
          <w:rFonts w:hint="eastAsia" w:ascii="宋体" w:hAnsi="宋体" w:eastAsia="宋体" w:cs="宋体"/>
          <w:sz w:val="24"/>
          <w:szCs w:val="24"/>
        </w:rPr>
        <w:t>1.3.4、开关柜基本技术特性</w:t>
      </w:r>
      <w:bookmarkEnd w:id="168"/>
      <w:bookmarkEnd w:id="169"/>
      <w:bookmarkEnd w:id="170"/>
      <w:bookmarkEnd w:id="171"/>
      <w:bookmarkEnd w:id="17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73" w:name="_Toc15349"/>
      <w:bookmarkStart w:id="174" w:name="_Toc19537"/>
      <w:r>
        <w:rPr>
          <w:rFonts w:hint="eastAsia" w:ascii="宋体" w:hAnsi="宋体" w:eastAsia="宋体" w:cs="宋体"/>
          <w:b w:val="0"/>
          <w:sz w:val="24"/>
          <w:szCs w:val="24"/>
        </w:rPr>
        <w:t>（1）母线</w:t>
      </w:r>
      <w:bookmarkEnd w:id="173"/>
      <w:bookmarkEnd w:id="17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75" w:name="_Toc28814"/>
      <w:bookmarkStart w:id="176" w:name="_Toc18163"/>
      <w:r>
        <w:rPr>
          <w:rFonts w:hint="eastAsia" w:ascii="宋体" w:hAnsi="宋体" w:eastAsia="宋体" w:cs="宋体"/>
          <w:b w:val="0"/>
          <w:sz w:val="24"/>
          <w:szCs w:val="24"/>
        </w:rPr>
        <w:t>母线应采用优质电工铜母排，母线相序色标按最新国际表示。</w:t>
      </w:r>
      <w:bookmarkEnd w:id="175"/>
      <w:bookmarkEnd w:id="176"/>
    </w:p>
    <w:p>
      <w:pPr>
        <w:pStyle w:val="17"/>
        <w:spacing w:beforeLines="0"/>
        <w:ind w:firstLine="480" w:firstLineChars="200"/>
        <w:rPr>
          <w:rFonts w:hint="eastAsia" w:ascii="宋体" w:hAnsi="宋体" w:eastAsia="宋体" w:cs="宋体"/>
          <w:b w:val="0"/>
          <w:sz w:val="24"/>
          <w:szCs w:val="24"/>
        </w:rPr>
      </w:pPr>
      <w:bookmarkStart w:id="177" w:name="_Toc16706"/>
      <w:bookmarkStart w:id="178" w:name="_Toc2011"/>
      <w:r>
        <w:rPr>
          <w:rFonts w:hint="eastAsia" w:ascii="宋体" w:hAnsi="宋体" w:eastAsia="宋体" w:cs="宋体"/>
          <w:b w:val="0"/>
          <w:sz w:val="24"/>
          <w:szCs w:val="24"/>
        </w:rPr>
        <w:t>主母线、分支母线及接头，都应予绝缘。主母线支持件和母线绝缘物，为不吸潮、阻燃、长寿命的并能耐受规定的环境条件产品。在设备的使用寿命内，其机械强度和电气性能应基本保持不变。主母线、分支母线及接头，都套有与三相颜色相对应色彩的热缩套管予以防护。</w:t>
      </w:r>
      <w:bookmarkEnd w:id="177"/>
      <w:bookmarkEnd w:id="178"/>
    </w:p>
    <w:p>
      <w:pPr>
        <w:pStyle w:val="17"/>
        <w:spacing w:beforeLines="0"/>
        <w:ind w:firstLine="480" w:firstLineChars="200"/>
        <w:rPr>
          <w:rFonts w:hint="eastAsia" w:ascii="宋体" w:hAnsi="宋体" w:eastAsia="宋体" w:cs="宋体"/>
          <w:b w:val="0"/>
          <w:sz w:val="24"/>
          <w:szCs w:val="24"/>
        </w:rPr>
      </w:pPr>
      <w:bookmarkStart w:id="179" w:name="_Toc4833"/>
      <w:bookmarkStart w:id="180" w:name="_Toc28122"/>
      <w:r>
        <w:rPr>
          <w:rFonts w:hint="eastAsia" w:ascii="宋体" w:hAnsi="宋体" w:eastAsia="宋体" w:cs="宋体"/>
          <w:b w:val="0"/>
          <w:sz w:val="24"/>
          <w:szCs w:val="24"/>
        </w:rPr>
        <w:t>母线材料应选高导电率的铜材料制造。当采用螺栓连接时，每个接头应不少于两个螺栓。螺栓连接的方法，应在不限制使用寿命的期间内，从标准的额定环境温度到额定满载温度范围内，螺孔周围的初始接触压力应大体保持不变。</w:t>
      </w:r>
      <w:bookmarkEnd w:id="179"/>
      <w:bookmarkEnd w:id="18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1" w:name="_Toc7883"/>
      <w:bookmarkStart w:id="182" w:name="_Toc5790"/>
      <w:r>
        <w:rPr>
          <w:rFonts w:hint="eastAsia" w:ascii="宋体" w:hAnsi="宋体" w:eastAsia="宋体" w:cs="宋体"/>
          <w:b w:val="0"/>
          <w:sz w:val="24"/>
          <w:szCs w:val="24"/>
        </w:rPr>
        <w:t>母线之间的连接应保证足够的面积和压力，但不应使母线变形。振动和温度变化不应影响母线连接部位的接触。</w:t>
      </w:r>
      <w:bookmarkEnd w:id="181"/>
      <w:bookmarkEnd w:id="18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3" w:name="_Toc12477"/>
      <w:bookmarkStart w:id="184" w:name="_Toc29034"/>
      <w:r>
        <w:rPr>
          <w:rFonts w:hint="eastAsia" w:ascii="宋体" w:hAnsi="宋体" w:eastAsia="宋体" w:cs="宋体"/>
          <w:b w:val="0"/>
          <w:sz w:val="24"/>
          <w:szCs w:val="24"/>
        </w:rPr>
        <w:t>母线和主电路连接件的带电部件之间及其接地金属构件的爬电距离和电气间隙应不小于20mm。</w:t>
      </w:r>
      <w:bookmarkEnd w:id="183"/>
      <w:bookmarkEnd w:id="18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5" w:name="_Toc30477"/>
      <w:bookmarkStart w:id="186" w:name="_Toc27752"/>
      <w:r>
        <w:rPr>
          <w:rFonts w:hint="eastAsia" w:ascii="宋体" w:hAnsi="宋体" w:eastAsia="宋体" w:cs="宋体"/>
          <w:b w:val="0"/>
          <w:sz w:val="24"/>
          <w:szCs w:val="24"/>
        </w:rPr>
        <w:t>铜母线应搭接部位要求采取防腐蚀，耐高温，防氧化措施。</w:t>
      </w:r>
      <w:bookmarkEnd w:id="185"/>
      <w:bookmarkEnd w:id="18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7" w:name="_Toc24847"/>
      <w:bookmarkStart w:id="188" w:name="_Toc12358"/>
      <w:r>
        <w:rPr>
          <w:rFonts w:hint="eastAsia" w:ascii="宋体" w:hAnsi="宋体" w:eastAsia="宋体" w:cs="宋体"/>
          <w:b w:val="0"/>
          <w:sz w:val="24"/>
          <w:szCs w:val="24"/>
        </w:rPr>
        <w:t>所有导体的支持件，应能耐受相当于它所连接的断路器的最大额定开断电流所引起的应力。</w:t>
      </w:r>
      <w:bookmarkEnd w:id="187"/>
      <w:bookmarkEnd w:id="18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9" w:name="_Toc22434"/>
      <w:bookmarkStart w:id="190" w:name="_Toc16783"/>
      <w:r>
        <w:rPr>
          <w:rFonts w:hint="eastAsia" w:ascii="宋体" w:hAnsi="宋体" w:eastAsia="宋体" w:cs="宋体"/>
          <w:b w:val="0"/>
          <w:sz w:val="24"/>
          <w:szCs w:val="24"/>
        </w:rPr>
        <w:t>（2）接地母线</w:t>
      </w:r>
      <w:bookmarkEnd w:id="189"/>
      <w:bookmarkEnd w:id="19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1" w:name="_Toc29320"/>
      <w:bookmarkStart w:id="192" w:name="_Toc9730"/>
      <w:r>
        <w:rPr>
          <w:rFonts w:hint="eastAsia" w:ascii="宋体" w:hAnsi="宋体" w:eastAsia="宋体" w:cs="宋体"/>
          <w:b w:val="0"/>
          <w:sz w:val="24"/>
          <w:szCs w:val="24"/>
        </w:rPr>
        <w:t>铜接地母线截面应按有关国标选择。</w:t>
      </w:r>
      <w:bookmarkEnd w:id="191"/>
      <w:bookmarkEnd w:id="19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3" w:name="_Toc7691"/>
      <w:bookmarkStart w:id="194" w:name="_Toc21898"/>
      <w:r>
        <w:rPr>
          <w:rFonts w:hint="eastAsia" w:ascii="宋体" w:hAnsi="宋体" w:eastAsia="宋体" w:cs="宋体"/>
          <w:b w:val="0"/>
          <w:sz w:val="24"/>
          <w:szCs w:val="24"/>
        </w:rPr>
        <w:t>每个螺栓接头和搭接头应不少于两个螺栓，每个分支接头按需要应有一个或一个以上的螺栓。</w:t>
      </w:r>
      <w:bookmarkEnd w:id="193"/>
      <w:bookmarkEnd w:id="19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5" w:name="_Toc22894"/>
      <w:bookmarkStart w:id="196" w:name="_Toc9254"/>
      <w:r>
        <w:rPr>
          <w:rFonts w:hint="eastAsia" w:ascii="宋体" w:hAnsi="宋体" w:eastAsia="宋体" w:cs="宋体"/>
          <w:b w:val="0"/>
          <w:sz w:val="24"/>
          <w:szCs w:val="24"/>
        </w:rPr>
        <w:t>铜接地母线应延伸至整段结构，并应用螺栓接在每一面开关柜的框架上。</w:t>
      </w:r>
      <w:bookmarkEnd w:id="195"/>
      <w:bookmarkEnd w:id="19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7" w:name="_Toc16885"/>
      <w:bookmarkStart w:id="198" w:name="_Toc22823"/>
      <w:r>
        <w:rPr>
          <w:rFonts w:hint="eastAsia" w:ascii="宋体" w:hAnsi="宋体" w:eastAsia="宋体" w:cs="宋体"/>
          <w:b w:val="0"/>
          <w:sz w:val="24"/>
          <w:szCs w:val="24"/>
        </w:rPr>
        <w:t>（3）互感器</w:t>
      </w:r>
      <w:bookmarkEnd w:id="197"/>
      <w:bookmarkEnd w:id="19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9" w:name="_Toc28244"/>
      <w:bookmarkStart w:id="200" w:name="_Toc31485"/>
      <w:r>
        <w:rPr>
          <w:rFonts w:hint="eastAsia" w:ascii="宋体" w:hAnsi="宋体" w:eastAsia="宋体" w:cs="宋体"/>
          <w:b w:val="0"/>
          <w:sz w:val="24"/>
          <w:szCs w:val="24"/>
        </w:rPr>
        <w:t>互感器应固定牢靠，且应采取隔离措施，当柜中其他高压电器组件运行异常时，互感器仍能正常工作。互感器安装的位置应便于运行中进行检查、巡视，且在主回路不带电时，便于人员进行预防性试验、检修及更换等。互感器的伏安特性、准确度级及额定负载均应能满足设计继电保护及仪表测量计量装置的要求。电流互感器的短时耐受电流及短路持续时间、峰值耐受电流均应满足高压开关柜铭牌的要求。</w:t>
      </w:r>
      <w:bookmarkEnd w:id="199"/>
      <w:bookmarkEnd w:id="20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01" w:name="_Toc28670"/>
      <w:bookmarkStart w:id="202" w:name="_Toc3634"/>
      <w:r>
        <w:rPr>
          <w:rFonts w:hint="eastAsia" w:ascii="宋体" w:hAnsi="宋体" w:eastAsia="宋体" w:cs="宋体"/>
          <w:b w:val="0"/>
          <w:sz w:val="24"/>
          <w:szCs w:val="24"/>
        </w:rPr>
        <w:t>互感器二次接线及辅助回路的连接，必须采用截面不小于2.5mm2的铜导线：布线时，应考虑避免其它组件故障对它的影响。</w:t>
      </w:r>
      <w:bookmarkEnd w:id="201"/>
      <w:bookmarkEnd w:id="202"/>
    </w:p>
    <w:p>
      <w:pPr>
        <w:pStyle w:val="17"/>
        <w:spacing w:beforeLines="0"/>
        <w:rPr>
          <w:rFonts w:hint="eastAsia" w:ascii="宋体" w:hAnsi="宋体" w:eastAsia="宋体" w:cs="宋体"/>
          <w:sz w:val="24"/>
          <w:szCs w:val="24"/>
        </w:rPr>
      </w:pPr>
      <w:bookmarkStart w:id="203" w:name="_Toc23704"/>
      <w:bookmarkStart w:id="204" w:name="_Toc416190239"/>
      <w:bookmarkStart w:id="205" w:name="_Toc416190166"/>
      <w:bookmarkStart w:id="206" w:name="_Toc384102416"/>
      <w:bookmarkStart w:id="207" w:name="_Toc405204666"/>
      <w:bookmarkStart w:id="208" w:name="_Toc2273"/>
      <w:r>
        <w:rPr>
          <w:rFonts w:hint="eastAsia" w:ascii="宋体" w:hAnsi="宋体" w:eastAsia="宋体" w:cs="宋体"/>
          <w:sz w:val="24"/>
          <w:szCs w:val="24"/>
        </w:rPr>
        <w:t>1.3.5、显示装置和仪表</w:t>
      </w:r>
      <w:bookmarkEnd w:id="203"/>
      <w:bookmarkEnd w:id="204"/>
      <w:bookmarkEnd w:id="205"/>
      <w:bookmarkEnd w:id="206"/>
      <w:bookmarkEnd w:id="207"/>
      <w:bookmarkEnd w:id="20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09" w:name="_Toc17109"/>
      <w:bookmarkStart w:id="210" w:name="_Toc3570"/>
      <w:r>
        <w:rPr>
          <w:rFonts w:hint="eastAsia" w:ascii="宋体" w:hAnsi="宋体" w:eastAsia="宋体" w:cs="宋体"/>
          <w:b w:val="0"/>
          <w:sz w:val="24"/>
          <w:szCs w:val="24"/>
        </w:rPr>
        <w:t>所有显示装置和仪表在连续运行的情况下不发热，表盘字迹和数字显示清晰，当事故电流流过仪表和线圈时，仪表不会损坏，应提供仪表调零工具和方法。</w:t>
      </w:r>
      <w:bookmarkEnd w:id="209"/>
      <w:bookmarkEnd w:id="21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11" w:name="_Toc28806"/>
      <w:bookmarkStart w:id="212" w:name="_Toc29261"/>
      <w:r>
        <w:rPr>
          <w:rFonts w:hint="eastAsia" w:ascii="宋体" w:hAnsi="宋体" w:eastAsia="宋体" w:cs="宋体"/>
          <w:b w:val="0"/>
          <w:sz w:val="24"/>
          <w:szCs w:val="24"/>
        </w:rPr>
        <w:t>值班人员在监控中心可以实现对低压柜网络运行状态的监视及控制。</w:t>
      </w:r>
      <w:bookmarkEnd w:id="211"/>
      <w:bookmarkEnd w:id="212"/>
    </w:p>
    <w:p>
      <w:pPr>
        <w:pStyle w:val="17"/>
        <w:spacing w:beforeLines="0"/>
        <w:rPr>
          <w:rFonts w:hint="eastAsia" w:ascii="宋体" w:hAnsi="宋体" w:eastAsia="宋体" w:cs="宋体"/>
          <w:b w:val="0"/>
          <w:sz w:val="24"/>
          <w:szCs w:val="24"/>
        </w:rPr>
      </w:pPr>
      <w:bookmarkStart w:id="213" w:name="_Toc32599"/>
      <w:bookmarkStart w:id="214" w:name="_Toc29557"/>
      <w:r>
        <w:rPr>
          <w:rFonts w:hint="eastAsia" w:ascii="宋体" w:hAnsi="宋体" w:eastAsia="宋体" w:cs="宋体"/>
          <w:b w:val="0"/>
          <w:sz w:val="24"/>
          <w:szCs w:val="24"/>
        </w:rPr>
        <w:t>测量表计配置见低压系统图。</w:t>
      </w:r>
      <w:bookmarkEnd w:id="213"/>
      <w:bookmarkEnd w:id="214"/>
    </w:p>
    <w:p>
      <w:pPr>
        <w:pStyle w:val="17"/>
        <w:spacing w:beforeLines="0"/>
        <w:rPr>
          <w:rFonts w:hint="eastAsia" w:ascii="宋体" w:hAnsi="宋体" w:eastAsia="宋体" w:cs="宋体"/>
          <w:sz w:val="24"/>
          <w:szCs w:val="24"/>
        </w:rPr>
      </w:pPr>
      <w:bookmarkStart w:id="215" w:name="_Toc5424"/>
      <w:bookmarkStart w:id="216" w:name="_Toc8937"/>
      <w:r>
        <w:rPr>
          <w:rFonts w:hint="eastAsia" w:ascii="宋体" w:hAnsi="宋体" w:eastAsia="宋体" w:cs="宋体"/>
          <w:sz w:val="24"/>
          <w:szCs w:val="24"/>
        </w:rPr>
        <w:t>1.3.6、低压功率因数补偿</w:t>
      </w:r>
      <w:bookmarkEnd w:id="215"/>
      <w:bookmarkEnd w:id="21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17" w:name="_Toc12237"/>
      <w:bookmarkStart w:id="218" w:name="_Toc7194"/>
      <w:r>
        <w:rPr>
          <w:rFonts w:hint="eastAsia" w:ascii="宋体" w:hAnsi="宋体" w:eastAsia="宋体" w:cs="宋体"/>
          <w:b w:val="0"/>
          <w:sz w:val="24"/>
          <w:szCs w:val="24"/>
        </w:rPr>
        <w:t>（1）配电室设置低压无功功率补偿装置，在变电所低压进线测量点一个月的最小平均功率因数不低于0.95。</w:t>
      </w:r>
      <w:bookmarkEnd w:id="217"/>
      <w:bookmarkEnd w:id="21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19" w:name="_Toc16381"/>
      <w:bookmarkStart w:id="220" w:name="_Toc23364"/>
      <w:r>
        <w:rPr>
          <w:rFonts w:hint="eastAsia" w:ascii="宋体" w:hAnsi="宋体" w:eastAsia="宋体" w:cs="宋体"/>
          <w:b w:val="0"/>
          <w:sz w:val="24"/>
          <w:szCs w:val="24"/>
        </w:rPr>
        <w:t>（2）低压电容补偿柜与低压配电柜并排布置，根据现场的负荷变化情况，控制器调整投切电容，达到最佳的补偿效果。</w:t>
      </w:r>
      <w:bookmarkEnd w:id="219"/>
      <w:bookmarkEnd w:id="220"/>
    </w:p>
    <w:p>
      <w:pPr>
        <w:pStyle w:val="17"/>
        <w:tabs>
          <w:tab w:val="left" w:pos="420"/>
        </w:tabs>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1" w:name="_Toc29601"/>
      <w:bookmarkStart w:id="222" w:name="_Toc30629"/>
      <w:r>
        <w:rPr>
          <w:rFonts w:hint="eastAsia" w:ascii="宋体" w:hAnsi="宋体" w:eastAsia="宋体" w:cs="宋体"/>
          <w:b w:val="0"/>
          <w:sz w:val="24"/>
          <w:szCs w:val="24"/>
        </w:rPr>
        <w:t>（3）采用智能型（无触点）免维护自动补偿装置，具备自动过零投切、分补共补、智能监测以及抑制谐波等功能，采用国产知名厂商产品。</w:t>
      </w:r>
      <w:bookmarkEnd w:id="221"/>
      <w:bookmarkEnd w:id="22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3" w:name="_Toc24378"/>
      <w:bookmarkStart w:id="224" w:name="_Toc18083"/>
      <w:r>
        <w:rPr>
          <w:rFonts w:hint="eastAsia" w:ascii="宋体" w:hAnsi="宋体" w:eastAsia="宋体" w:cs="宋体"/>
          <w:b w:val="0"/>
          <w:sz w:val="24"/>
          <w:szCs w:val="24"/>
        </w:rPr>
        <w:t>（4）电容器</w:t>
      </w:r>
      <w:bookmarkEnd w:id="223"/>
      <w:bookmarkEnd w:id="22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5" w:name="_Toc7057"/>
      <w:bookmarkStart w:id="226" w:name="_Toc11258"/>
      <w:r>
        <w:rPr>
          <w:rFonts w:hint="eastAsia" w:ascii="宋体" w:hAnsi="宋体" w:eastAsia="宋体" w:cs="宋体"/>
          <w:b w:val="0"/>
          <w:sz w:val="24"/>
          <w:szCs w:val="24"/>
        </w:rPr>
        <w:t>产品为全膜、无毒、无氯、无污染、安全环保、低噪音型，可回收或做一般垃圾处理。采用国产知名厂商产品。每个电容均有放电电阻，其放电特性在电源切离60秒内，残留电压降至50V以下；</w:t>
      </w:r>
      <w:bookmarkEnd w:id="225"/>
      <w:bookmarkEnd w:id="22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7" w:name="_Toc2290"/>
      <w:bookmarkStart w:id="228" w:name="_Toc28951"/>
      <w:r>
        <w:rPr>
          <w:rFonts w:hint="eastAsia" w:ascii="宋体" w:hAnsi="宋体" w:eastAsia="宋体" w:cs="宋体"/>
          <w:b w:val="0"/>
          <w:sz w:val="24"/>
          <w:szCs w:val="24"/>
        </w:rPr>
        <w:t>电容器外壳采用非导磁、耐腐蚀材质；</w:t>
      </w:r>
      <w:bookmarkEnd w:id="227"/>
      <w:bookmarkEnd w:id="22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9" w:name="_Toc30994"/>
      <w:bookmarkStart w:id="230" w:name="_Toc32572"/>
      <w:r>
        <w:rPr>
          <w:rFonts w:hint="eastAsia" w:ascii="宋体" w:hAnsi="宋体" w:eastAsia="宋体" w:cs="宋体"/>
          <w:b w:val="0"/>
          <w:sz w:val="24"/>
          <w:szCs w:val="24"/>
        </w:rPr>
        <w:t>允许1.30 In（额定电流）下长期运行，过电流是由谐波和1.1 Un的过电压共同作用的结果。允许1.10Un（额定电压）下长期运行，每24小时内可以在1.15Un下最多运行30min；</w:t>
      </w:r>
      <w:bookmarkEnd w:id="229"/>
      <w:bookmarkEnd w:id="23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1" w:name="_Toc3821"/>
      <w:bookmarkStart w:id="232" w:name="_Toc6200"/>
      <w:r>
        <w:rPr>
          <w:rFonts w:hint="eastAsia" w:ascii="宋体" w:hAnsi="宋体" w:eastAsia="宋体" w:cs="宋体"/>
          <w:b w:val="0"/>
          <w:sz w:val="24"/>
          <w:szCs w:val="24"/>
        </w:rPr>
        <w:t>（5）电抗器</w:t>
      </w:r>
      <w:bookmarkEnd w:id="231"/>
      <w:bookmarkEnd w:id="23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3" w:name="_Toc12136"/>
      <w:bookmarkStart w:id="234" w:name="_Toc11681"/>
      <w:r>
        <w:rPr>
          <w:rFonts w:hint="eastAsia" w:ascii="宋体" w:hAnsi="宋体" w:eastAsia="宋体" w:cs="宋体"/>
          <w:b w:val="0"/>
          <w:sz w:val="24"/>
          <w:szCs w:val="24"/>
        </w:rPr>
        <w:t>电抗器的结构形式：采用环氧树脂浇注铁心电抗器；</w:t>
      </w:r>
      <w:bookmarkEnd w:id="233"/>
      <w:bookmarkEnd w:id="23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5" w:name="_Toc608"/>
      <w:bookmarkStart w:id="236" w:name="_Toc13227"/>
      <w:r>
        <w:rPr>
          <w:rFonts w:hint="eastAsia" w:ascii="宋体" w:hAnsi="宋体" w:eastAsia="宋体" w:cs="宋体"/>
          <w:b w:val="0"/>
          <w:sz w:val="24"/>
          <w:szCs w:val="24"/>
        </w:rPr>
        <w:t>绝缘温度等级：F级；</w:t>
      </w:r>
      <w:bookmarkEnd w:id="235"/>
      <w:bookmarkEnd w:id="23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7" w:name="_Toc17169"/>
      <w:bookmarkStart w:id="238" w:name="_Toc12880"/>
      <w:r>
        <w:rPr>
          <w:rFonts w:hint="eastAsia" w:ascii="宋体" w:hAnsi="宋体" w:eastAsia="宋体" w:cs="宋体"/>
          <w:b w:val="0"/>
          <w:sz w:val="24"/>
          <w:szCs w:val="24"/>
        </w:rPr>
        <w:t>电抗率：7%</w:t>
      </w:r>
      <w:bookmarkEnd w:id="237"/>
      <w:bookmarkEnd w:id="23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9" w:name="_Toc2717"/>
      <w:bookmarkStart w:id="240" w:name="_Toc7813"/>
      <w:r>
        <w:rPr>
          <w:rFonts w:hint="eastAsia" w:ascii="宋体" w:hAnsi="宋体" w:eastAsia="宋体" w:cs="宋体"/>
          <w:b w:val="0"/>
          <w:sz w:val="24"/>
          <w:szCs w:val="24"/>
        </w:rPr>
        <w:t>满足低损耗、低噪音运行的要求：</w:t>
      </w:r>
      <w:bookmarkEnd w:id="239"/>
      <w:bookmarkEnd w:id="24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1" w:name="_Toc31848"/>
      <w:bookmarkStart w:id="242" w:name="_Toc13259"/>
      <w:r>
        <w:rPr>
          <w:rFonts w:hint="eastAsia" w:ascii="宋体" w:hAnsi="宋体" w:eastAsia="宋体" w:cs="宋体"/>
          <w:b w:val="0"/>
          <w:sz w:val="24"/>
          <w:szCs w:val="24"/>
        </w:rPr>
        <w:t>损耗：0.5KW；</w:t>
      </w:r>
      <w:bookmarkEnd w:id="241"/>
      <w:bookmarkEnd w:id="242"/>
      <w:r>
        <w:rPr>
          <w:rFonts w:hint="eastAsia" w:ascii="宋体" w:hAnsi="宋体" w:eastAsia="宋体" w:cs="宋体"/>
          <w:b w:val="0"/>
          <w:sz w:val="24"/>
          <w:szCs w:val="24"/>
        </w:rPr>
        <w:t xml:space="preserve">      </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3" w:name="_Toc25697"/>
      <w:bookmarkStart w:id="244" w:name="_Toc8892"/>
      <w:r>
        <w:rPr>
          <w:rFonts w:hint="eastAsia" w:ascii="宋体" w:hAnsi="宋体" w:eastAsia="宋体" w:cs="宋体"/>
          <w:b w:val="0"/>
          <w:sz w:val="24"/>
          <w:szCs w:val="24"/>
        </w:rPr>
        <w:t>噪音：小于48分贝；</w:t>
      </w:r>
      <w:bookmarkEnd w:id="243"/>
      <w:bookmarkEnd w:id="24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5" w:name="_Toc6313"/>
      <w:bookmarkStart w:id="246" w:name="_Toc5563"/>
      <w:r>
        <w:rPr>
          <w:rFonts w:hint="eastAsia" w:ascii="宋体" w:hAnsi="宋体" w:eastAsia="宋体" w:cs="宋体"/>
          <w:b w:val="0"/>
          <w:sz w:val="24"/>
          <w:szCs w:val="24"/>
        </w:rPr>
        <w:t>（6）技术要求</w:t>
      </w:r>
      <w:bookmarkEnd w:id="245"/>
      <w:bookmarkEnd w:id="24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7" w:name="_Toc10261"/>
      <w:bookmarkStart w:id="248" w:name="_Toc28043"/>
      <w:r>
        <w:rPr>
          <w:rFonts w:hint="eastAsia" w:ascii="宋体" w:hAnsi="宋体" w:eastAsia="宋体" w:cs="宋体"/>
          <w:b w:val="0"/>
          <w:sz w:val="24"/>
          <w:szCs w:val="24"/>
        </w:rPr>
        <w:t>采用控制器控制无功补偿专用投切开关实现对电容器组的投切；要求控制器全智能控制，动作可靠，不受谐波干扰。</w:t>
      </w:r>
      <w:bookmarkEnd w:id="247"/>
      <w:bookmarkEnd w:id="24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9" w:name="_Toc14829"/>
      <w:bookmarkStart w:id="250" w:name="_Toc27508"/>
      <w:r>
        <w:rPr>
          <w:rFonts w:hint="eastAsia" w:ascii="宋体" w:hAnsi="宋体" w:eastAsia="宋体" w:cs="宋体"/>
          <w:b w:val="0"/>
          <w:sz w:val="24"/>
          <w:szCs w:val="24"/>
        </w:rPr>
        <w:t>能够根据负荷无功功率的大小及功率因数的实际运行水平自动投切，自动化补偿无功功率，在足够的补偿容量下保证系统功率因数在0.95以上；</w:t>
      </w:r>
      <w:bookmarkEnd w:id="249"/>
      <w:bookmarkEnd w:id="25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1" w:name="_Toc18146"/>
      <w:bookmarkStart w:id="252" w:name="_Toc18686"/>
      <w:r>
        <w:rPr>
          <w:rFonts w:hint="eastAsia" w:ascii="宋体" w:hAnsi="宋体" w:eastAsia="宋体" w:cs="宋体"/>
          <w:b w:val="0"/>
          <w:sz w:val="24"/>
          <w:szCs w:val="24"/>
        </w:rPr>
        <w:t>对控制器、电抗器、投切开关进行特殊设计，要求选用7％的电抗器，从根本上解决与系统发生串联、并联谐振，避免使谐波放大，实现无功补偿的功能；</w:t>
      </w:r>
      <w:bookmarkEnd w:id="251"/>
      <w:bookmarkEnd w:id="25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3" w:name="_Toc32555"/>
      <w:bookmarkStart w:id="254" w:name="_Toc17804"/>
      <w:r>
        <w:rPr>
          <w:rFonts w:hint="eastAsia" w:ascii="宋体" w:hAnsi="宋体" w:eastAsia="宋体" w:cs="宋体"/>
          <w:b w:val="0"/>
          <w:sz w:val="24"/>
          <w:szCs w:val="24"/>
        </w:rPr>
        <w:t>控制器实现全数字化，液晶显示，控制应具有高可靠性，而且操作简单，与系统联结时，不需要考虑交流系统相序，不会因为相序接错而带来烧坏可控硅或其他器件的现象；</w:t>
      </w:r>
      <w:bookmarkEnd w:id="253"/>
      <w:bookmarkEnd w:id="25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5" w:name="_Toc24308"/>
      <w:bookmarkStart w:id="256" w:name="_Toc9570"/>
      <w:r>
        <w:rPr>
          <w:rFonts w:hint="eastAsia" w:ascii="宋体" w:hAnsi="宋体" w:eastAsia="宋体" w:cs="宋体"/>
          <w:b w:val="0"/>
          <w:sz w:val="24"/>
          <w:szCs w:val="24"/>
        </w:rPr>
        <w:t>为了便于操作、观察监视，要求控制器界面在补偿器正面柜门上显示，做到不用开门即可进行控制器参数设置、调整，保护操作人员人身安全；</w:t>
      </w:r>
      <w:bookmarkEnd w:id="255"/>
      <w:bookmarkEnd w:id="25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7" w:name="_Toc1619"/>
      <w:bookmarkStart w:id="258" w:name="_Toc29532"/>
      <w:r>
        <w:rPr>
          <w:rFonts w:hint="eastAsia" w:ascii="宋体" w:hAnsi="宋体" w:eastAsia="宋体" w:cs="宋体"/>
          <w:b w:val="0"/>
          <w:sz w:val="24"/>
          <w:szCs w:val="24"/>
        </w:rPr>
        <w:t>能就地补偿、稳定系统电压、抑制电压闪变，改善电能质量；</w:t>
      </w:r>
      <w:bookmarkEnd w:id="257"/>
      <w:bookmarkEnd w:id="25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9" w:name="_Toc10956"/>
      <w:bookmarkStart w:id="260" w:name="_Toc26198"/>
      <w:r>
        <w:rPr>
          <w:rFonts w:hint="eastAsia" w:ascii="宋体" w:hAnsi="宋体" w:eastAsia="宋体" w:cs="宋体"/>
          <w:b w:val="0"/>
          <w:sz w:val="24"/>
          <w:szCs w:val="24"/>
        </w:rPr>
        <w:t>补偿器保护措施齐全，自动化程度高，能在外部故障或停电时自动退出工作，送电后能自动恢复运行，整套设备设有过压、欠压、过流等保护。</w:t>
      </w:r>
      <w:bookmarkEnd w:id="259"/>
      <w:bookmarkEnd w:id="26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1" w:name="_Toc28987"/>
      <w:bookmarkStart w:id="262" w:name="_Toc14009"/>
      <w:r>
        <w:rPr>
          <w:rFonts w:hint="eastAsia" w:ascii="宋体" w:hAnsi="宋体" w:eastAsia="宋体" w:cs="宋体"/>
          <w:b w:val="0"/>
          <w:sz w:val="24"/>
          <w:szCs w:val="24"/>
        </w:rPr>
        <w:t>补偿器整体结构设计合理，符合相关行业标准，禁止因不合理的结构设计出现电抗器发热导致电容器温度升高，发生参数变化的现象出现；电容器、电抗器选用国内知名厂商的产品。</w:t>
      </w:r>
      <w:bookmarkEnd w:id="261"/>
      <w:bookmarkEnd w:id="26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3" w:name="_Toc30065"/>
      <w:bookmarkStart w:id="264" w:name="_Toc2985"/>
      <w:r>
        <w:rPr>
          <w:rFonts w:hint="eastAsia" w:ascii="宋体" w:hAnsi="宋体" w:eastAsia="宋体" w:cs="宋体"/>
          <w:b w:val="0"/>
          <w:sz w:val="24"/>
          <w:szCs w:val="24"/>
        </w:rPr>
        <w:t>补偿器要求具有手动、自动转换功能，表门安装手动、自动转换开关、启动停止按钮及指示灯；表门要求有电流、电压、功率因数显示仪表，便于设备监视；</w:t>
      </w:r>
      <w:bookmarkEnd w:id="263"/>
      <w:bookmarkEnd w:id="26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5" w:name="_Toc13407"/>
      <w:bookmarkStart w:id="266" w:name="_Toc18699"/>
      <w:r>
        <w:rPr>
          <w:rFonts w:hint="eastAsia" w:ascii="宋体" w:hAnsi="宋体" w:eastAsia="宋体" w:cs="宋体"/>
          <w:b w:val="0"/>
          <w:sz w:val="24"/>
          <w:szCs w:val="24"/>
        </w:rPr>
        <w:t>辅助元件按钮、指示灯、切换开关均采用国际名牌产品，元器件安装排列整齐，布线规范有序，标识清楚。</w:t>
      </w:r>
      <w:bookmarkEnd w:id="265"/>
      <w:bookmarkEnd w:id="26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7" w:name="_Toc20122"/>
      <w:bookmarkStart w:id="268" w:name="_Toc189"/>
      <w:r>
        <w:rPr>
          <w:rFonts w:hint="eastAsia" w:ascii="宋体" w:hAnsi="宋体" w:eastAsia="宋体" w:cs="宋体"/>
          <w:b w:val="0"/>
          <w:sz w:val="24"/>
          <w:szCs w:val="24"/>
        </w:rPr>
        <w:t>柜体型式要求柜形及颜色与其它低压柜协调一致；柜体材料及表面处理：采用敷铝锌钢板、柜体防护等级：IP4X。</w:t>
      </w:r>
      <w:bookmarkEnd w:id="267"/>
      <w:bookmarkEnd w:id="268"/>
    </w:p>
    <w:p>
      <w:pPr>
        <w:pStyle w:val="17"/>
        <w:spacing w:beforeLines="0"/>
        <w:rPr>
          <w:rFonts w:hint="eastAsia" w:ascii="宋体" w:hAnsi="宋体" w:eastAsia="宋体" w:cs="宋体"/>
          <w:sz w:val="24"/>
          <w:szCs w:val="24"/>
        </w:rPr>
      </w:pPr>
      <w:bookmarkStart w:id="269" w:name="_Toc384102414"/>
      <w:bookmarkStart w:id="270" w:name="_Toc2201"/>
      <w:bookmarkStart w:id="271" w:name="_Toc416190167"/>
      <w:bookmarkStart w:id="272" w:name="_Toc25088"/>
      <w:bookmarkStart w:id="273" w:name="_Toc405204667"/>
      <w:bookmarkStart w:id="274" w:name="_Toc416190240"/>
      <w:r>
        <w:rPr>
          <w:rFonts w:hint="eastAsia" w:ascii="宋体" w:hAnsi="宋体" w:eastAsia="宋体" w:cs="宋体"/>
          <w:sz w:val="24"/>
          <w:szCs w:val="24"/>
        </w:rPr>
        <w:t>1.3.7、开关柜柜体技术要求</w:t>
      </w:r>
      <w:bookmarkEnd w:id="269"/>
      <w:bookmarkEnd w:id="270"/>
      <w:bookmarkEnd w:id="271"/>
      <w:bookmarkEnd w:id="272"/>
      <w:bookmarkEnd w:id="273"/>
      <w:bookmarkEnd w:id="27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75" w:name="_Toc20699"/>
      <w:bookmarkStart w:id="276" w:name="_Toc25595"/>
      <w:r>
        <w:rPr>
          <w:rFonts w:hint="eastAsia" w:ascii="宋体" w:hAnsi="宋体" w:eastAsia="宋体" w:cs="宋体"/>
          <w:b w:val="0"/>
          <w:sz w:val="24"/>
          <w:szCs w:val="24"/>
        </w:rPr>
        <w:t>（1）结构设计合理，分隔类型至少要达到三型分隔，能保证工作人员的安全，便于运行、维护、检修。</w:t>
      </w:r>
      <w:bookmarkEnd w:id="275"/>
      <w:bookmarkEnd w:id="27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77" w:name="_Toc16943"/>
      <w:bookmarkStart w:id="278" w:name="_Toc21125"/>
      <w:r>
        <w:rPr>
          <w:rFonts w:hint="eastAsia" w:ascii="宋体" w:hAnsi="宋体" w:eastAsia="宋体" w:cs="宋体"/>
          <w:b w:val="0"/>
          <w:sz w:val="24"/>
          <w:szCs w:val="24"/>
        </w:rPr>
        <w:t>（2）开关柜必须是模块化组合拼装结构，外观整齐漂亮，结构形式为固定分隔式。为了保证机械强度，结构拼装时，应采用螺栓固定。</w:t>
      </w:r>
      <w:bookmarkEnd w:id="277"/>
      <w:bookmarkEnd w:id="27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79" w:name="_Toc4201"/>
      <w:bookmarkStart w:id="280" w:name="_Toc28949"/>
      <w:r>
        <w:rPr>
          <w:rFonts w:hint="eastAsia" w:ascii="宋体" w:hAnsi="宋体" w:eastAsia="宋体" w:cs="宋体"/>
          <w:b w:val="0"/>
          <w:sz w:val="24"/>
          <w:szCs w:val="24"/>
        </w:rPr>
        <w:t>（3）所有柜门上应配置分合闸按钮或控制开关、多功能表、指示灯。</w:t>
      </w:r>
      <w:bookmarkEnd w:id="279"/>
      <w:bookmarkEnd w:id="28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1" w:name="_Toc26126"/>
      <w:bookmarkStart w:id="282" w:name="_Toc22404"/>
      <w:r>
        <w:rPr>
          <w:rFonts w:hint="eastAsia" w:ascii="宋体" w:hAnsi="宋体" w:eastAsia="宋体" w:cs="宋体"/>
          <w:b w:val="0"/>
          <w:sz w:val="24"/>
          <w:szCs w:val="24"/>
        </w:rPr>
        <w:t>（4）开关柜的柜架为垂直地面安装的自撑式结构。开关柜壳体的材质为优质：①柜体钢板采用敷铝锌钢板②其余材料为优质冷轧板。</w:t>
      </w:r>
      <w:bookmarkEnd w:id="281"/>
      <w:bookmarkEnd w:id="28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3" w:name="_Toc25490"/>
      <w:bookmarkStart w:id="284" w:name="_Toc10131"/>
      <w:r>
        <w:rPr>
          <w:rFonts w:hint="eastAsia" w:ascii="宋体" w:hAnsi="宋体" w:eastAsia="宋体" w:cs="宋体"/>
          <w:b w:val="0"/>
          <w:sz w:val="24"/>
          <w:szCs w:val="24"/>
        </w:rPr>
        <w:t>（5）开关柜外壳防护等级为IP4X 。能防止昆虫、小型爬行动物等进入。</w:t>
      </w:r>
      <w:bookmarkEnd w:id="283"/>
      <w:bookmarkEnd w:id="28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5" w:name="_Toc12343"/>
      <w:bookmarkStart w:id="286" w:name="_Toc22978"/>
      <w:r>
        <w:rPr>
          <w:rFonts w:hint="eastAsia" w:ascii="宋体" w:hAnsi="宋体" w:eastAsia="宋体" w:cs="宋体"/>
          <w:b w:val="0"/>
          <w:sz w:val="24"/>
          <w:szCs w:val="24"/>
        </w:rPr>
        <w:t>（6）柜架和外壳应有足够的强度和刚度，应能承受柜内所安装元件自重以及操作和短路时所产生的机械应力和热应力，同时不因成套设备的吊装、运输等情况而损坏或影响开关柜及所安装元件的性能。所有金属结构件应做表面处理，包括框架、门板、顶板、侧板及各种隔板等的防护层表面处理采用聚酯环氧树脂粉末喷涂。</w:t>
      </w:r>
      <w:bookmarkEnd w:id="285"/>
      <w:bookmarkEnd w:id="28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7" w:name="_Toc30989"/>
      <w:bookmarkStart w:id="288" w:name="_Toc31844"/>
      <w:r>
        <w:rPr>
          <w:rFonts w:hint="eastAsia" w:ascii="宋体" w:hAnsi="宋体" w:eastAsia="宋体" w:cs="宋体"/>
          <w:b w:val="0"/>
          <w:sz w:val="24"/>
          <w:szCs w:val="24"/>
        </w:rPr>
        <w:t>（7）外壳顶部应顶板遮盖，防止异物、水滴落下造成母线短路。</w:t>
      </w:r>
      <w:bookmarkEnd w:id="287"/>
      <w:bookmarkEnd w:id="28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9" w:name="_Toc20142"/>
      <w:bookmarkStart w:id="290" w:name="_Toc14779"/>
      <w:r>
        <w:rPr>
          <w:rFonts w:hint="eastAsia" w:ascii="宋体" w:hAnsi="宋体" w:eastAsia="宋体" w:cs="宋体"/>
          <w:b w:val="0"/>
          <w:sz w:val="24"/>
          <w:szCs w:val="24"/>
        </w:rPr>
        <w:t>（8）柜架背面应设置防止直接触及带电元件的隔板（靠墙安装）或可拆卸门（不靠墙安装）。</w:t>
      </w:r>
      <w:bookmarkEnd w:id="289"/>
      <w:bookmarkEnd w:id="29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91" w:name="_Toc18450"/>
      <w:bookmarkStart w:id="292" w:name="_Toc18606"/>
      <w:r>
        <w:rPr>
          <w:rFonts w:hint="eastAsia" w:ascii="宋体" w:hAnsi="宋体" w:eastAsia="宋体" w:cs="宋体"/>
          <w:b w:val="0"/>
          <w:sz w:val="24"/>
          <w:szCs w:val="24"/>
        </w:rPr>
        <w:t>（9）柜体屏与屏之间应有隔板，以防止事故扩大。</w:t>
      </w:r>
      <w:bookmarkEnd w:id="291"/>
      <w:bookmarkEnd w:id="29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93" w:name="_Toc25314"/>
      <w:bookmarkStart w:id="294" w:name="_Toc3328"/>
      <w:r>
        <w:rPr>
          <w:rFonts w:hint="eastAsia" w:ascii="宋体" w:hAnsi="宋体" w:eastAsia="宋体" w:cs="宋体"/>
          <w:b w:val="0"/>
          <w:sz w:val="24"/>
          <w:szCs w:val="24"/>
        </w:rPr>
        <w:t>（10）整个设计应有利于通风散热；框架、门板的板材．厚度不小于2mm。</w:t>
      </w:r>
      <w:bookmarkEnd w:id="293"/>
      <w:bookmarkEnd w:id="29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95" w:name="_Toc11085"/>
      <w:bookmarkStart w:id="296" w:name="_Toc2839"/>
      <w:r>
        <w:rPr>
          <w:rFonts w:hint="eastAsia" w:ascii="宋体" w:hAnsi="宋体" w:eastAsia="宋体" w:cs="宋体"/>
          <w:b w:val="0"/>
          <w:sz w:val="24"/>
          <w:szCs w:val="24"/>
        </w:rPr>
        <w:t>（11) 所使用柜型应为全型式试验产品，并能提供相应的型式试验报告和3C证书。</w:t>
      </w:r>
      <w:bookmarkEnd w:id="295"/>
      <w:bookmarkEnd w:id="296"/>
    </w:p>
    <w:p>
      <w:pPr>
        <w:pStyle w:val="17"/>
        <w:spacing w:beforeLines="0"/>
        <w:rPr>
          <w:rFonts w:hint="default" w:eastAsia="宋体"/>
          <w:lang w:val="en-US" w:eastAsia="zh-CN"/>
        </w:rPr>
      </w:pPr>
      <w:r>
        <w:rPr>
          <w:rFonts w:hint="eastAsia" w:ascii="宋体" w:hAnsi="宋体" w:eastAsia="宋体" w:cs="宋体"/>
          <w:b w:val="0"/>
          <w:sz w:val="24"/>
          <w:szCs w:val="24"/>
        </w:rPr>
        <w:t xml:space="preserve">  </w:t>
      </w:r>
      <w:bookmarkStart w:id="297" w:name="_Toc2149"/>
      <w:bookmarkStart w:id="298" w:name="_Toc18848"/>
      <w:r>
        <w:rPr>
          <w:rFonts w:hint="eastAsia" w:ascii="宋体" w:hAnsi="宋体" w:eastAsia="宋体" w:cs="宋体"/>
          <w:b w:val="0"/>
          <w:sz w:val="24"/>
          <w:szCs w:val="24"/>
        </w:rPr>
        <w:t>（12)开关柜使用年限不小于30年。</w:t>
      </w:r>
      <w:bookmarkEnd w:id="297"/>
      <w:bookmarkEnd w:id="298"/>
    </w:p>
    <w:p>
      <w:pPr>
        <w:pStyle w:val="17"/>
        <w:spacing w:beforeLines="0"/>
        <w:rPr>
          <w:rFonts w:hint="eastAsia" w:ascii="宋体" w:hAnsi="宋体" w:eastAsia="宋体" w:cs="宋体"/>
          <w:sz w:val="24"/>
          <w:szCs w:val="24"/>
        </w:rPr>
      </w:pPr>
      <w:bookmarkStart w:id="299" w:name="_Toc7109"/>
      <w:bookmarkStart w:id="300" w:name="_Toc416190168"/>
      <w:bookmarkStart w:id="301" w:name="_Toc17743"/>
      <w:bookmarkStart w:id="302" w:name="_Toc416190241"/>
      <w:bookmarkStart w:id="303" w:name="_Toc405204668"/>
      <w:r>
        <w:rPr>
          <w:rFonts w:hint="eastAsia" w:ascii="宋体" w:hAnsi="宋体" w:eastAsia="宋体" w:cs="宋体"/>
          <w:sz w:val="24"/>
          <w:szCs w:val="24"/>
        </w:rPr>
        <w:t>1.3.8、柜体结构</w:t>
      </w:r>
      <w:bookmarkEnd w:id="299"/>
      <w:bookmarkEnd w:id="300"/>
      <w:bookmarkEnd w:id="301"/>
      <w:bookmarkEnd w:id="302"/>
      <w:bookmarkEnd w:id="30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04" w:name="_Toc14490"/>
      <w:bookmarkStart w:id="305" w:name="_Toc18259"/>
      <w:r>
        <w:rPr>
          <w:rFonts w:hint="eastAsia" w:ascii="宋体" w:hAnsi="宋体" w:eastAsia="宋体" w:cs="宋体"/>
          <w:b w:val="0"/>
          <w:sz w:val="24"/>
          <w:szCs w:val="24"/>
        </w:rPr>
        <w:t>（1）低压开关柜采用全组装式结构，主构架采用型钢，框架及零部件均采用螺钉紧固连接方式。框架和外壳应有足够的强度和钢度，应能承受安装元件及短路时所产生的机械力和电动力，同时不应因设备安装、运输等原因而影响设备的性能。</w:t>
      </w:r>
      <w:bookmarkEnd w:id="304"/>
      <w:bookmarkEnd w:id="30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06" w:name="_Toc6254"/>
      <w:bookmarkStart w:id="307" w:name="_Toc20799"/>
      <w:r>
        <w:rPr>
          <w:rFonts w:hint="eastAsia" w:ascii="宋体" w:hAnsi="宋体" w:eastAsia="宋体" w:cs="宋体"/>
          <w:b w:val="0"/>
          <w:sz w:val="24"/>
          <w:szCs w:val="24"/>
        </w:rPr>
        <w:t>（2）利用隔板将设备分为相互隔离的功能室：即功能单元室、母线室、电缆室。各功能室之间应能防止触及邻近功能室的带电元件，不应因某一功能室的故障而影响其它功能室的工作，应使故障局限在最小范围内。用作隔离的板应采用镀锌金属板或绝缘板，且受到外力及断路器、熔断器在分断时不应有变形或损坏。各隔室之间的开孔应确保断路器、熔断器在短路分断时产生的气体不影响相邻隔室的正常工作。</w:t>
      </w:r>
      <w:bookmarkEnd w:id="306"/>
      <w:bookmarkEnd w:id="30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08" w:name="_Toc30206"/>
      <w:bookmarkStart w:id="309" w:name="_Toc25711"/>
      <w:r>
        <w:rPr>
          <w:rFonts w:hint="eastAsia" w:ascii="宋体" w:hAnsi="宋体" w:eastAsia="宋体" w:cs="宋体"/>
          <w:b w:val="0"/>
          <w:sz w:val="24"/>
          <w:szCs w:val="24"/>
        </w:rPr>
        <w:t>（3）设备采用通风孔散热时，通风孔的设计和安装应使得当断路器、熔断器在正常工作或短路时没有电弧及可熔金属喷出。通风孔的设置不应降低设备外壳的防护等级。</w:t>
      </w:r>
      <w:bookmarkEnd w:id="308"/>
      <w:bookmarkEnd w:id="30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0" w:name="_Toc21155"/>
      <w:bookmarkStart w:id="311" w:name="_Toc10475"/>
      <w:r>
        <w:rPr>
          <w:rFonts w:hint="eastAsia" w:ascii="宋体" w:hAnsi="宋体" w:eastAsia="宋体" w:cs="宋体"/>
          <w:b w:val="0"/>
          <w:sz w:val="24"/>
          <w:szCs w:val="24"/>
        </w:rPr>
        <w:t>（4）在主开关分断的情况下，即使主电路带电，也能直接或借助工具安全地将功能单元抽出或插入。</w:t>
      </w:r>
      <w:bookmarkEnd w:id="310"/>
      <w:bookmarkEnd w:id="31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2" w:name="_Toc12952"/>
      <w:bookmarkStart w:id="313" w:name="_Toc4944"/>
      <w:r>
        <w:rPr>
          <w:rFonts w:hint="eastAsia" w:ascii="宋体" w:hAnsi="宋体" w:eastAsia="宋体" w:cs="宋体"/>
          <w:b w:val="0"/>
          <w:sz w:val="24"/>
          <w:szCs w:val="24"/>
        </w:rPr>
        <w:t>（5）功能单元应有连接位置（工作位置）、试验位置、分离位置（检修位置），每个位置均应有明显指示及机械锁定装置。控制部分也应具有上述三个位置。功能单元的主回路和辅助回路的隔离插接件应能随功能单元自动地接通和分开。相同规格的功能单元即使在短路后也应具有互换性。各功能单元主回路的导体和串联的元件的参数应相互配合。短路保护电器在额定的电气参数范围内应能可靠分断额定短路电流，并具有选择性。</w:t>
      </w:r>
      <w:bookmarkEnd w:id="312"/>
      <w:bookmarkEnd w:id="31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4" w:name="_Toc12069"/>
      <w:bookmarkStart w:id="315" w:name="_Toc16396"/>
      <w:r>
        <w:rPr>
          <w:rFonts w:hint="eastAsia" w:ascii="宋体" w:hAnsi="宋体" w:eastAsia="宋体" w:cs="宋体"/>
          <w:b w:val="0"/>
          <w:sz w:val="24"/>
          <w:szCs w:val="24"/>
        </w:rPr>
        <w:t>（6）低压开关柜应选用表面通长镀锡的铜母线，且接触面不允许涂导电膏代替镀锡，并应有相序标识。</w:t>
      </w:r>
      <w:bookmarkEnd w:id="314"/>
      <w:bookmarkEnd w:id="31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6" w:name="_Toc4336"/>
      <w:bookmarkStart w:id="317" w:name="_Toc4525"/>
      <w:r>
        <w:rPr>
          <w:rFonts w:hint="eastAsia" w:ascii="宋体" w:hAnsi="宋体" w:eastAsia="宋体" w:cs="宋体"/>
          <w:b w:val="0"/>
          <w:sz w:val="24"/>
          <w:szCs w:val="24"/>
        </w:rPr>
        <w:t>（7）母线应用绝缘支撑件进行固定，以保证母线之间、母线和其它部件之间的距离不变。母线的布置和连接及绝缘支撑件应能承受设备额定短时耐受电流和额定峰值耐受电流所产生的热应力和机械应力的冲击。母线的连接应保证足够的面积和压力，但不应使母线变形。振动和温度变化在母线上产生的膨胀和收缩不应影响母线连接部位的接触特性。母线穿过金属隔板之处应提供相应的套管和其它绝缘件。</w:t>
      </w:r>
      <w:bookmarkEnd w:id="316"/>
      <w:bookmarkEnd w:id="31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8" w:name="_Toc1999"/>
      <w:bookmarkStart w:id="319" w:name="_Toc29016"/>
      <w:r>
        <w:rPr>
          <w:rFonts w:hint="eastAsia" w:ascii="宋体" w:hAnsi="宋体" w:eastAsia="宋体" w:cs="宋体"/>
          <w:b w:val="0"/>
          <w:sz w:val="24"/>
          <w:szCs w:val="24"/>
        </w:rPr>
        <w:t>（8）低压开关柜绝缘导线的额定绝缘电压值应同相应的电路绝缘电压值一致。主电路和辅助电路的绝缘导体的连接均应采用冷压接线端头进行连接，压接质量应符合相应规定。</w:t>
      </w:r>
      <w:bookmarkEnd w:id="318"/>
      <w:bookmarkEnd w:id="31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0" w:name="_Toc391"/>
      <w:bookmarkStart w:id="321" w:name="_Toc10231"/>
      <w:r>
        <w:rPr>
          <w:rFonts w:hint="eastAsia" w:ascii="宋体" w:hAnsi="宋体" w:eastAsia="宋体" w:cs="宋体"/>
          <w:b w:val="0"/>
          <w:sz w:val="24"/>
          <w:szCs w:val="24"/>
        </w:rPr>
        <w:t>（9）可移动的部位，如跨门</w:t>
      </w:r>
      <w:r>
        <w:rPr>
          <w:rFonts w:hint="eastAsia" w:ascii="宋体" w:hAnsi="宋体" w:eastAsia="宋体" w:cs="宋体"/>
          <w:b w:val="0"/>
          <w:sz w:val="24"/>
          <w:szCs w:val="24"/>
          <w:highlight w:val="none"/>
        </w:rPr>
        <w:t>连接线，必须采用多股</w:t>
      </w:r>
      <w:r>
        <w:rPr>
          <w:rFonts w:hint="eastAsia" w:ascii="宋体" w:hAnsi="宋体" w:cs="宋体"/>
          <w:b w:val="0"/>
          <w:sz w:val="24"/>
          <w:szCs w:val="24"/>
          <w:highlight w:val="none"/>
          <w:lang w:val="en-US" w:eastAsia="zh-CN"/>
        </w:rPr>
        <w:t>不小于4平方黄绿双色</w:t>
      </w:r>
      <w:r>
        <w:rPr>
          <w:rFonts w:hint="eastAsia" w:ascii="宋体" w:hAnsi="宋体" w:eastAsia="宋体" w:cs="宋体"/>
          <w:b w:val="0"/>
          <w:sz w:val="24"/>
          <w:szCs w:val="24"/>
          <w:highlight w:val="none"/>
        </w:rPr>
        <w:t>铜</w:t>
      </w:r>
      <w:r>
        <w:rPr>
          <w:rFonts w:hint="eastAsia" w:ascii="宋体" w:hAnsi="宋体" w:eastAsia="宋体" w:cs="宋体"/>
          <w:b w:val="0"/>
          <w:sz w:val="24"/>
          <w:szCs w:val="24"/>
        </w:rPr>
        <w:t>芯绝缘导线，并应留有一定余量。每个端子排只能接一根导线，内部跨线可以接两根导线，导线均应选用聚乙烯绝缘，电压不小于500V的单股铜导线（活动部分除外）。</w:t>
      </w:r>
      <w:bookmarkEnd w:id="320"/>
      <w:bookmarkEnd w:id="32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2" w:name="_Toc264"/>
      <w:bookmarkStart w:id="323" w:name="_Toc26737"/>
      <w:r>
        <w:rPr>
          <w:rFonts w:hint="eastAsia" w:ascii="宋体" w:hAnsi="宋体" w:eastAsia="宋体" w:cs="宋体"/>
          <w:b w:val="0"/>
          <w:sz w:val="24"/>
          <w:szCs w:val="24"/>
        </w:rPr>
        <w:t>（10）表计、控制、信号和保护回路的连接导线应为铜芯绝缘导线，最小截面不小于1.5mm2，电流互感器二次绕组至端子排的铜导线最小截面不小于2.5mm2。对外引接电缆的端子均经过端子排，每排端子均应留有15%的备用端子。</w:t>
      </w:r>
      <w:bookmarkEnd w:id="322"/>
      <w:bookmarkEnd w:id="32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4" w:name="_Toc15919"/>
      <w:bookmarkStart w:id="325" w:name="_Toc12734"/>
      <w:r>
        <w:rPr>
          <w:rFonts w:hint="eastAsia" w:ascii="宋体" w:hAnsi="宋体" w:eastAsia="宋体" w:cs="宋体"/>
          <w:b w:val="0"/>
          <w:sz w:val="24"/>
          <w:szCs w:val="24"/>
        </w:rPr>
        <w:t>（11）柜内的布线应平整，并捆扎成线把。</w:t>
      </w:r>
      <w:bookmarkEnd w:id="324"/>
      <w:bookmarkEnd w:id="32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6" w:name="_Toc5072"/>
      <w:bookmarkStart w:id="327" w:name="_Toc18807"/>
      <w:r>
        <w:rPr>
          <w:rFonts w:hint="eastAsia" w:ascii="宋体" w:hAnsi="宋体" w:eastAsia="宋体" w:cs="宋体"/>
          <w:b w:val="0"/>
          <w:sz w:val="24"/>
          <w:szCs w:val="24"/>
        </w:rPr>
        <w:t>（12）柜体尺寸:以设计院图纸尺寸为准。</w:t>
      </w:r>
      <w:bookmarkEnd w:id="326"/>
      <w:bookmarkEnd w:id="32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8" w:name="_Toc15946"/>
      <w:bookmarkStart w:id="329" w:name="_Toc22828"/>
      <w:r>
        <w:rPr>
          <w:rFonts w:hint="eastAsia" w:ascii="宋体" w:hAnsi="宋体" w:eastAsia="宋体" w:cs="宋体"/>
          <w:b w:val="0"/>
          <w:sz w:val="24"/>
          <w:szCs w:val="24"/>
        </w:rPr>
        <w:t>（13）柜内所有的元件必须根据招标文件要求的品牌及系列为准，并满足本招标书中的规定，并经需方确认。</w:t>
      </w:r>
      <w:bookmarkEnd w:id="328"/>
      <w:bookmarkEnd w:id="329"/>
    </w:p>
    <w:p>
      <w:pPr>
        <w:pStyle w:val="17"/>
        <w:spacing w:beforeLines="0"/>
        <w:rPr>
          <w:rFonts w:hint="eastAsia" w:ascii="宋体" w:hAnsi="宋体" w:eastAsia="宋体" w:cs="宋体"/>
          <w:sz w:val="24"/>
          <w:szCs w:val="24"/>
        </w:rPr>
      </w:pPr>
      <w:bookmarkStart w:id="330" w:name="_Toc10043"/>
      <w:bookmarkStart w:id="331" w:name="_Toc405204669"/>
      <w:bookmarkStart w:id="332" w:name="_Toc11726"/>
      <w:bookmarkStart w:id="333" w:name="_Toc416190169"/>
      <w:bookmarkStart w:id="334" w:name="_Toc416190242"/>
      <w:r>
        <w:rPr>
          <w:rFonts w:hint="eastAsia" w:ascii="宋体" w:hAnsi="宋体" w:eastAsia="宋体" w:cs="宋体"/>
          <w:sz w:val="24"/>
          <w:szCs w:val="24"/>
        </w:rPr>
        <w:t>1.3.9、配线</w:t>
      </w:r>
      <w:bookmarkEnd w:id="330"/>
      <w:bookmarkEnd w:id="331"/>
      <w:bookmarkEnd w:id="332"/>
      <w:bookmarkEnd w:id="333"/>
      <w:bookmarkEnd w:id="33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35" w:name="_Toc19318"/>
      <w:bookmarkStart w:id="336" w:name="_Toc13270"/>
      <w:r>
        <w:rPr>
          <w:rFonts w:hint="eastAsia" w:ascii="宋体" w:hAnsi="宋体" w:eastAsia="宋体" w:cs="宋体"/>
          <w:b w:val="0"/>
          <w:sz w:val="24"/>
          <w:szCs w:val="24"/>
        </w:rPr>
        <w:t>（1）绝缘导线应选用耐热、防潮及阻燃的铜质多股绞线, 绝缘材料应为交联聚乙烯。导线的额定电压不小于500V。</w:t>
      </w:r>
      <w:bookmarkEnd w:id="335"/>
      <w:bookmarkEnd w:id="33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37" w:name="_Toc17096"/>
      <w:bookmarkStart w:id="338" w:name="_Toc7854"/>
      <w:r>
        <w:rPr>
          <w:rFonts w:hint="eastAsia" w:ascii="宋体" w:hAnsi="宋体" w:eastAsia="宋体" w:cs="宋体"/>
          <w:b w:val="0"/>
          <w:sz w:val="24"/>
          <w:szCs w:val="24"/>
        </w:rPr>
        <w:t>（2）导线的截面应与其承载的电流额定值相适应。辅助电路导线的截面不应小于1.5mm2，电流互感器二次回路的导线截面不应小于2.5mm2。</w:t>
      </w:r>
      <w:bookmarkEnd w:id="337"/>
      <w:bookmarkEnd w:id="33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39" w:name="_Toc17182"/>
      <w:bookmarkStart w:id="340" w:name="_Toc14172"/>
      <w:r>
        <w:rPr>
          <w:rFonts w:hint="eastAsia" w:ascii="宋体" w:hAnsi="宋体" w:eastAsia="宋体" w:cs="宋体"/>
          <w:b w:val="0"/>
          <w:sz w:val="24"/>
          <w:szCs w:val="24"/>
        </w:rPr>
        <w:t>（3）辅助电路每根导线的两端均应有回路编号。与仪表及继电器的端子连接时，导线端头配U型铜制裸压接线头。</w:t>
      </w:r>
      <w:bookmarkEnd w:id="339"/>
      <w:bookmarkEnd w:id="34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1" w:name="_Toc18857"/>
      <w:bookmarkStart w:id="342" w:name="_Toc36"/>
      <w:r>
        <w:rPr>
          <w:rFonts w:hint="eastAsia" w:ascii="宋体" w:hAnsi="宋体" w:eastAsia="宋体" w:cs="宋体"/>
          <w:b w:val="0"/>
          <w:sz w:val="24"/>
          <w:szCs w:val="24"/>
        </w:rPr>
        <w:t>（4）开关柜每个出线间隔都应按图纸要求设置标有回路名称的标志牌。</w:t>
      </w:r>
      <w:bookmarkEnd w:id="341"/>
      <w:bookmarkEnd w:id="34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3" w:name="_Toc20999"/>
      <w:bookmarkStart w:id="344" w:name="_Toc12306"/>
      <w:r>
        <w:rPr>
          <w:rFonts w:hint="eastAsia" w:ascii="宋体" w:hAnsi="宋体" w:eastAsia="宋体" w:cs="宋体"/>
          <w:b w:val="0"/>
          <w:sz w:val="24"/>
          <w:szCs w:val="24"/>
        </w:rPr>
        <w:t>（5）端子排额定电压不低于500V，额定电流不小于10A，具有隔板、标号线套和端子螺丝。</w:t>
      </w:r>
      <w:bookmarkEnd w:id="343"/>
      <w:bookmarkEnd w:id="34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5" w:name="_Toc27033"/>
      <w:bookmarkStart w:id="346" w:name="_Toc7335"/>
      <w:r>
        <w:rPr>
          <w:rFonts w:hint="eastAsia" w:ascii="宋体" w:hAnsi="宋体" w:eastAsia="宋体" w:cs="宋体"/>
          <w:b w:val="0"/>
          <w:sz w:val="24"/>
          <w:szCs w:val="24"/>
        </w:rPr>
        <w:t>（6）引接电缆均应通过端子排，出线端子用压接式连线鼻子接线，柜内设备机械配合和间隙应符合机械及电气距离的要求，控制和操作应灵活、可靠。</w:t>
      </w:r>
      <w:bookmarkEnd w:id="345"/>
      <w:bookmarkEnd w:id="34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7" w:name="_Toc1374"/>
      <w:bookmarkStart w:id="348" w:name="_Toc3499"/>
      <w:r>
        <w:rPr>
          <w:rFonts w:hint="eastAsia" w:ascii="宋体" w:hAnsi="宋体" w:eastAsia="宋体" w:cs="宋体"/>
          <w:b w:val="0"/>
          <w:sz w:val="24"/>
          <w:szCs w:val="24"/>
        </w:rPr>
        <w:t>（7）端子排上应带有压板、标签带和端子螺丝。每个端子均应标有编号。</w:t>
      </w:r>
      <w:bookmarkEnd w:id="347"/>
      <w:bookmarkEnd w:id="34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9" w:name="_Toc15757"/>
      <w:bookmarkStart w:id="350" w:name="_Toc11283"/>
      <w:r>
        <w:rPr>
          <w:rFonts w:hint="eastAsia" w:ascii="宋体" w:hAnsi="宋体" w:eastAsia="宋体" w:cs="宋体"/>
          <w:b w:val="0"/>
          <w:sz w:val="24"/>
          <w:szCs w:val="24"/>
        </w:rPr>
        <w:t>（8）不同功能的电路应配置不同用途的端子。用于电流互感器（CT）二次回路的端子排，应设计成可以短接的型式，以便校验和检修继电器或仪表时保护CT。</w:t>
      </w:r>
      <w:bookmarkEnd w:id="349"/>
      <w:bookmarkEnd w:id="35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51" w:name="_Toc29897"/>
      <w:bookmarkStart w:id="352" w:name="_Toc9624"/>
      <w:r>
        <w:rPr>
          <w:rFonts w:hint="eastAsia" w:ascii="宋体" w:hAnsi="宋体" w:eastAsia="宋体" w:cs="宋体"/>
          <w:b w:val="0"/>
          <w:sz w:val="24"/>
          <w:szCs w:val="24"/>
        </w:rPr>
        <w:t>（9）对于柜内电气联锁、控制回路的接线，应进行严格检查，以保证回路的接线正确性，完整性。</w:t>
      </w:r>
      <w:bookmarkEnd w:id="351"/>
      <w:bookmarkEnd w:id="35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53" w:name="_Toc7430"/>
      <w:bookmarkStart w:id="354" w:name="_Toc14022"/>
      <w:r>
        <w:rPr>
          <w:rFonts w:hint="eastAsia" w:ascii="宋体" w:hAnsi="宋体" w:eastAsia="宋体" w:cs="宋体"/>
          <w:b w:val="0"/>
          <w:sz w:val="24"/>
          <w:szCs w:val="24"/>
        </w:rPr>
        <w:t>（10）应提供足够数量的端子排。每个配电柜上每组端子排应有不少于15%的备用端子；每个功能单元内的备用端子数量应不少于5个。端子排应采用阻燃型产品。</w:t>
      </w:r>
      <w:bookmarkEnd w:id="353"/>
      <w:bookmarkEnd w:id="354"/>
    </w:p>
    <w:p>
      <w:pPr>
        <w:pStyle w:val="17"/>
        <w:spacing w:beforeLines="0"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55" w:name="_Toc27180"/>
      <w:bookmarkStart w:id="356" w:name="_Toc17399"/>
      <w:r>
        <w:rPr>
          <w:rFonts w:hint="eastAsia" w:ascii="宋体" w:hAnsi="宋体" w:eastAsia="宋体" w:cs="宋体"/>
          <w:b w:val="0"/>
          <w:sz w:val="24"/>
          <w:szCs w:val="24"/>
        </w:rPr>
        <w:t>（11）进出柜的电缆必须通过接线端子或连接铜排，同时应考虑施工的方便，距柜底应有足够的空间，柜子底部应设有PE铜母排。应标识清晰，所有接线端子线号应采用电脑打印。</w:t>
      </w:r>
      <w:bookmarkEnd w:id="355"/>
      <w:bookmarkEnd w:id="356"/>
    </w:p>
    <w:p>
      <w:pPr>
        <w:pStyle w:val="17"/>
        <w:spacing w:beforeLines="0"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57" w:name="_Toc15334"/>
      <w:bookmarkStart w:id="358" w:name="_Toc4760"/>
      <w:r>
        <w:rPr>
          <w:rFonts w:hint="eastAsia" w:ascii="宋体" w:hAnsi="宋体" w:eastAsia="宋体" w:cs="宋体"/>
          <w:b w:val="0"/>
          <w:sz w:val="24"/>
          <w:szCs w:val="24"/>
        </w:rPr>
        <w:t>（12）MNS柜采用上进上出接线方式，柜顶安装进出线桥架，安装时需要预留必要的接线位置。</w:t>
      </w:r>
      <w:bookmarkEnd w:id="357"/>
      <w:bookmarkEnd w:id="358"/>
    </w:p>
    <w:p>
      <w:pPr>
        <w:tabs>
          <w:tab w:val="left" w:pos="753"/>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bookmarkStart w:id="359" w:name="_Toc1389"/>
      <w:bookmarkStart w:id="360" w:name="_Toc4229"/>
      <w:r>
        <w:rPr>
          <w:rFonts w:hint="eastAsia" w:ascii="宋体" w:hAnsi="宋体" w:eastAsia="宋体" w:cs="宋体"/>
          <w:sz w:val="24"/>
          <w:szCs w:val="24"/>
        </w:rPr>
        <w:t>（13）所有配电点柜出厂时均需配备必须的并柜螺丝。</w:t>
      </w:r>
      <w:bookmarkEnd w:id="359"/>
      <w:bookmarkEnd w:id="360"/>
    </w:p>
    <w:p>
      <w:pPr>
        <w:pStyle w:val="2"/>
        <w:spacing w:line="360" w:lineRule="auto"/>
        <w:ind w:left="0" w:leftChars="0" w:firstLine="0" w:firstLineChars="0"/>
        <w:rPr>
          <w:rFonts w:hint="eastAsia" w:eastAsia="宋体"/>
          <w:lang w:eastAsia="zh-CN"/>
        </w:rPr>
      </w:pPr>
      <w:r>
        <w:rPr>
          <w:rFonts w:hint="eastAsia" w:ascii="宋体" w:hAnsi="宋体" w:eastAsia="宋体" w:cs="宋体"/>
          <w:b/>
          <w:bCs/>
          <w:sz w:val="24"/>
          <w:szCs w:val="24"/>
          <w:lang w:val="en-US" w:eastAsia="zh-CN"/>
        </w:rPr>
        <w:t>1.3.10、</w:t>
      </w:r>
      <w:r>
        <w:rPr>
          <w:rFonts w:hint="eastAsia" w:ascii="宋体" w:hAnsi="宋体" w:eastAsia="宋体" w:cs="宋体"/>
          <w:sz w:val="24"/>
          <w:szCs w:val="24"/>
          <w:lang w:eastAsia="zh-CN"/>
        </w:rPr>
        <w:t>控制柜配置详见附件</w:t>
      </w:r>
    </w:p>
    <w:p>
      <w:pPr>
        <w:pStyle w:val="4"/>
        <w:rPr>
          <w:rFonts w:hint="eastAsia" w:ascii="宋体" w:hAnsi="宋体" w:eastAsia="宋体" w:cs="宋体"/>
          <w:color w:val="0070C0"/>
          <w:sz w:val="24"/>
          <w:szCs w:val="24"/>
        </w:rPr>
      </w:pPr>
    </w:p>
    <w:p>
      <w:pPr>
        <w:pStyle w:val="4"/>
        <w:rPr>
          <w:rFonts w:hint="eastAsia" w:ascii="宋体" w:hAnsi="宋体" w:eastAsia="宋体" w:cs="宋体"/>
          <w:color w:val="0070C0"/>
        </w:rPr>
      </w:pPr>
    </w:p>
    <w:p>
      <w:pPr>
        <w:spacing w:line="360" w:lineRule="auto"/>
        <w:ind w:firstLine="472" w:firstLineChars="196"/>
        <w:rPr>
          <w:rFonts w:hint="eastAsia" w:ascii="宋体" w:hAnsi="宋体" w:eastAsia="宋体" w:cs="宋体"/>
          <w:b/>
          <w:sz w:val="24"/>
        </w:rPr>
      </w:pPr>
      <w:r>
        <w:rPr>
          <w:rFonts w:hint="eastAsia" w:ascii="宋体" w:hAnsi="宋体" w:eastAsia="宋体" w:cs="宋体"/>
          <w:b/>
          <w:sz w:val="24"/>
        </w:rPr>
        <w:t>2．有关说明</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（1）投标人必须完成所有设备的供货、提供所有安装调试所需的设备及配套附材，要求到达安全及其相关规范要求。报价若有遗漏，均应免费提供，投标总价即为交付使用的价格。</w:t>
      </w:r>
    </w:p>
    <w:p>
      <w:pPr>
        <w:pStyle w:val="9"/>
        <w:spacing w:line="360" w:lineRule="auto"/>
        <w:ind w:firstLine="480" w:firstLineChars="200"/>
        <w:rPr>
          <w:rFonts w:hint="eastAsia" w:ascii="宋体" w:hAnsi="宋体" w:eastAsia="宋体" w:cs="宋体"/>
          <w:b/>
        </w:rPr>
      </w:pPr>
      <w:r>
        <w:rPr>
          <w:rFonts w:hint="eastAsia" w:ascii="宋体" w:hAnsi="宋体" w:eastAsia="宋体" w:cs="宋体"/>
        </w:rPr>
        <w:t>（2）采购人不接受有选择的投标报价，投标报价为应包括货物的检验、包装、保险、运输、税金、图纸资料、技术服务、售后服务、培训等全部费用。投标人必须完成所有相关货物的供货、就位工作，提供所有货物交货时必备的资料、出厂合格证明、检验报告等，要求达到安全及其相关规范要求。</w:t>
      </w:r>
    </w:p>
    <w:p>
      <w:pPr>
        <w:pStyle w:val="8"/>
        <w:spacing w:after="0" w:line="360" w:lineRule="auto"/>
        <w:ind w:right="61" w:firstLine="480" w:firstLineChars="200"/>
        <w:rPr>
          <w:rFonts w:hint="eastAsia" w:ascii="宋体" w:hAnsi="宋体" w:eastAsia="宋体" w:cs="宋体"/>
          <w:color w:val="auto"/>
          <w:sz w:val="24"/>
        </w:rPr>
      </w:pPr>
      <w:r>
        <w:rPr>
          <w:rFonts w:hint="eastAsia" w:ascii="宋体" w:hAnsi="宋体" w:eastAsia="宋体" w:cs="宋体"/>
          <w:sz w:val="24"/>
          <w:szCs w:val="22"/>
        </w:rPr>
        <w:t>（3）</w:t>
      </w:r>
      <w:r>
        <w:rPr>
          <w:rFonts w:hint="eastAsia" w:ascii="宋体" w:hAnsi="宋体" w:eastAsia="宋体" w:cs="宋体"/>
          <w:sz w:val="24"/>
        </w:rPr>
        <w:t>本招标文件中所提出的为标准工况下的技术要求，投标人在进行设计和制造时，除须满足本技术文件中所提的各项要求外，应同时满足该产品生产国的最新版的规范和标准的各</w:t>
      </w:r>
      <w:r>
        <w:rPr>
          <w:rFonts w:hint="eastAsia" w:ascii="宋体" w:hAnsi="宋体" w:eastAsia="宋体" w:cs="宋体"/>
          <w:color w:val="auto"/>
          <w:sz w:val="24"/>
        </w:rPr>
        <w:t>项要求。</w:t>
      </w:r>
    </w:p>
    <w:p>
      <w:pPr>
        <w:pStyle w:val="4"/>
        <w:rPr>
          <w:rFonts w:hint="eastAsia" w:ascii="宋体" w:hAnsi="宋体" w:eastAsia="宋体" w:cs="宋体"/>
          <w:color w:val="auto"/>
          <w:sz w:val="24"/>
          <w:szCs w:val="24"/>
        </w:rPr>
      </w:pPr>
      <w:r>
        <w:rPr>
          <w:rFonts w:hint="eastAsia" w:ascii="宋体" w:hAnsi="宋体" w:eastAsia="宋体" w:cs="宋体"/>
          <w:color w:val="auto"/>
          <w:sz w:val="24"/>
          <w:szCs w:val="24"/>
        </w:rPr>
        <w:t xml:space="preserve"> （6）承揽方尚需对低压侧整体供用电系统保护整定值进行精准设定</w:t>
      </w:r>
    </w:p>
    <w:p>
      <w:pPr>
        <w:pStyle w:val="4"/>
        <w:rPr>
          <w:rFonts w:hint="eastAsia" w:ascii="宋体" w:hAnsi="宋体" w:eastAsia="宋体" w:cs="宋体"/>
          <w:color w:val="0070C0"/>
          <w:sz w:val="24"/>
          <w:szCs w:val="24"/>
        </w:rPr>
      </w:pPr>
    </w:p>
    <w:p>
      <w:pPr>
        <w:pStyle w:val="3"/>
        <w:ind w:left="359" w:leftChars="171" w:firstLine="240" w:firstLineChars="75"/>
        <w:outlineLvl w:val="0"/>
        <w:rPr>
          <w:rFonts w:hint="eastAsia" w:ascii="宋体" w:hAnsi="宋体" w:eastAsia="宋体" w:cs="宋体"/>
          <w:szCs w:val="24"/>
        </w:rPr>
      </w:pPr>
    </w:p>
    <w:p>
      <w:pPr>
        <w:pStyle w:val="3"/>
        <w:ind w:left="359" w:leftChars="171" w:firstLine="240" w:firstLineChars="75"/>
        <w:outlineLvl w:val="0"/>
        <w:rPr>
          <w:rFonts w:hint="eastAsia" w:ascii="宋体" w:hAnsi="宋体" w:eastAsia="宋体" w:cs="宋体"/>
          <w:sz w:val="24"/>
        </w:rPr>
      </w:pPr>
      <w:r>
        <w:rPr>
          <w:rFonts w:hint="eastAsia" w:ascii="宋体" w:hAnsi="宋体" w:eastAsia="宋体" w:cs="宋体"/>
          <w:szCs w:val="24"/>
        </w:rPr>
        <w:t xml:space="preserve">              </w:t>
      </w:r>
      <w:bookmarkStart w:id="361" w:name="_Toc18439"/>
      <w:r>
        <w:rPr>
          <w:rFonts w:hint="eastAsia" w:ascii="宋体" w:hAnsi="宋体" w:eastAsia="宋体" w:cs="宋体"/>
          <w:b/>
        </w:rPr>
        <w:t>第三部分  投标人须知</w:t>
      </w:r>
      <w:bookmarkEnd w:id="361"/>
    </w:p>
    <w:p>
      <w:pPr>
        <w:pStyle w:val="5"/>
        <w:spacing w:before="120" w:after="120" w:line="360" w:lineRule="auto"/>
        <w:ind w:firstLine="3373" w:firstLineChars="1200"/>
        <w:rPr>
          <w:rFonts w:hint="eastAsia" w:ascii="宋体" w:hAnsi="宋体" w:eastAsia="宋体" w:cs="宋体"/>
          <w:sz w:val="28"/>
          <w:szCs w:val="28"/>
        </w:rPr>
      </w:pPr>
      <w:bookmarkStart w:id="362" w:name="_Toc896"/>
      <w:r>
        <w:rPr>
          <w:rFonts w:hint="eastAsia" w:ascii="宋体" w:hAnsi="宋体" w:eastAsia="宋体" w:cs="宋体"/>
          <w:sz w:val="28"/>
          <w:szCs w:val="28"/>
        </w:rPr>
        <w:t>A  说明</w:t>
      </w:r>
      <w:bookmarkEnd w:id="362"/>
    </w:p>
    <w:p>
      <w:pPr>
        <w:spacing w:line="360" w:lineRule="auto"/>
        <w:rPr>
          <w:rFonts w:hint="eastAsia" w:ascii="宋体" w:hAnsi="宋体" w:eastAsia="宋体" w:cs="宋体"/>
          <w:sz w:val="24"/>
          <w:szCs w:val="24"/>
        </w:rPr>
      </w:pPr>
      <w:r>
        <w:rPr>
          <w:rFonts w:hint="eastAsia" w:ascii="宋体" w:hAnsi="宋体" w:eastAsia="宋体" w:cs="宋体"/>
          <w:sz w:val="24"/>
          <w:szCs w:val="24"/>
        </w:rPr>
        <w:t>1.适用范围</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本招标文件仅适用于本次招标项目—金宝电子</w:t>
      </w:r>
      <w:r>
        <w:rPr>
          <w:rFonts w:hint="eastAsia" w:hAnsi="宋体" w:cs="宋体"/>
          <w:szCs w:val="24"/>
          <w:lang w:eastAsia="zh-CN"/>
        </w:rPr>
        <w:t>铜箔提升项目高低压</w:t>
      </w:r>
      <w:r>
        <w:rPr>
          <w:rFonts w:hint="eastAsia" w:ascii="宋体" w:hAnsi="宋体" w:eastAsia="宋体" w:cs="宋体"/>
          <w:szCs w:val="24"/>
        </w:rPr>
        <w:t>配电柜采购。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2.定义</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2.1 采购人－系指</w:t>
      </w:r>
      <w:r>
        <w:rPr>
          <w:rFonts w:hint="eastAsia" w:hAnsi="宋体" w:cs="宋体"/>
          <w:szCs w:val="24"/>
          <w:lang w:eastAsia="zh-CN"/>
        </w:rPr>
        <w:t>山东</w:t>
      </w:r>
      <w:r>
        <w:rPr>
          <w:rFonts w:hint="eastAsia" w:ascii="宋体" w:hAnsi="宋体" w:eastAsia="宋体" w:cs="宋体"/>
          <w:szCs w:val="24"/>
        </w:rPr>
        <w:t>金宝电子有限公司</w:t>
      </w:r>
    </w:p>
    <w:p>
      <w:pPr>
        <w:pStyle w:val="9"/>
        <w:spacing w:line="360" w:lineRule="auto"/>
        <w:ind w:firstLine="240" w:firstLineChars="100"/>
        <w:rPr>
          <w:rFonts w:hint="eastAsia" w:ascii="宋体" w:hAnsi="宋体" w:eastAsia="宋体" w:cs="宋体"/>
          <w:b/>
          <w:szCs w:val="24"/>
        </w:rPr>
      </w:pPr>
      <w:r>
        <w:rPr>
          <w:rFonts w:hint="eastAsia" w:ascii="宋体" w:hAnsi="宋体" w:eastAsia="宋体" w:cs="宋体"/>
          <w:szCs w:val="24"/>
        </w:rPr>
        <w:t>2.2 投标人－</w:t>
      </w:r>
      <w:r>
        <w:rPr>
          <w:rFonts w:hint="eastAsia" w:ascii="宋体" w:hAnsi="宋体" w:eastAsia="宋体" w:cs="宋体"/>
        </w:rPr>
        <w:t>系指响应招标、参加投标竞争并向采购人提交投标文件的法人。单位负责人为同一人或者存在直接控股、管理关系的不同投标人，不得参加同一合同项下的采购活动。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2.3中标人－系指经评标委员会综合评审,评选出的投标文件符合招标文件要求、能圆满地履行合同的投标人。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2.5“货物、产品、设备”系指中标人按招标文件和合同的要求，向用户提供所需的货物及有关技术资料。</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2.6“服务”系指中标人按招标文件和合同的要求，向用户提供所需的供货、测试、检验、调试、技术支持、售后服务以及其他相关的义务。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3.合格的投标人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3.1投标人必须向采购人购买招标文件并登记备案；</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3.2具有良好的商业信誉和健全的财务会计制度；</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3.3具有履行合同所必需的设备和专业技术能力；</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3.4有依法缴纳税收和社会保障资金的良好记录；</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3.5法律、行政法规规定的其他条件；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3.6投标人必须满足招标文件中其它资格要求，并无不良信用记录；</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3.7投标人所报产品必须符合国家强制性标准规定；</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3.8为本次项目提供整体设计、规范编制的投标人，不得再参加本次项目的采购活动。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3.9本项目不接受联合体。</w:t>
      </w:r>
    </w:p>
    <w:p>
      <w:pPr>
        <w:spacing w:line="360" w:lineRule="auto"/>
        <w:rPr>
          <w:rFonts w:hint="eastAsia" w:ascii="宋体" w:hAnsi="宋体" w:eastAsia="宋体" w:cs="宋体"/>
          <w:sz w:val="24"/>
          <w:szCs w:val="24"/>
        </w:rPr>
      </w:pPr>
      <w:r>
        <w:rPr>
          <w:rFonts w:hint="eastAsia" w:ascii="宋体" w:hAnsi="宋体" w:eastAsia="宋体" w:cs="宋体"/>
          <w:sz w:val="24"/>
          <w:szCs w:val="24"/>
        </w:rPr>
        <w:t>4.其它</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4.1无论投标过程中的做法和结果如何，投标人均应自行承担所有与参加投标有关的全部费用。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4.2无论投标结果如何，采购人均无向投标人解释其中标/未中标原因的义务。</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4.3无论投标结果如何，中标人的投标文件不予退还，未中标的投标人的投标文件须留一份正本和一份副本存档，其余退还。</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4.4无论中标与否,已购买标书的投标人对招标文件负保密责任。</w:t>
      </w:r>
    </w:p>
    <w:p>
      <w:pPr>
        <w:pStyle w:val="9"/>
        <w:spacing w:line="360" w:lineRule="auto"/>
        <w:rPr>
          <w:rFonts w:hint="eastAsia" w:ascii="宋体" w:hAnsi="宋体" w:eastAsia="宋体" w:cs="宋体"/>
          <w:szCs w:val="24"/>
        </w:rPr>
      </w:pPr>
      <w:r>
        <w:rPr>
          <w:rFonts w:hint="eastAsia" w:ascii="宋体" w:hAnsi="宋体" w:eastAsia="宋体" w:cs="宋体"/>
          <w:szCs w:val="24"/>
        </w:rPr>
        <w:t>5.投标人的质疑</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5.1投标人应当在法定质疑期内以书面方式一次性提出针对同一采购程序环节的质疑（质疑函要求详见附件十一）。</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5.2质疑函接收方式：质疑函纸质原件（不接受电报、电传、传真、电子数据交换、电子邮件等数据电文方式）。</w:t>
      </w:r>
    </w:p>
    <w:p>
      <w:pPr>
        <w:pStyle w:val="5"/>
        <w:spacing w:before="120" w:after="120" w:line="360" w:lineRule="auto"/>
        <w:jc w:val="center"/>
        <w:rPr>
          <w:rFonts w:hint="eastAsia" w:ascii="宋体" w:hAnsi="宋体" w:eastAsia="宋体" w:cs="宋体"/>
          <w:sz w:val="28"/>
          <w:szCs w:val="28"/>
        </w:rPr>
      </w:pPr>
      <w:bookmarkStart w:id="363" w:name="_Toc3479"/>
      <w:r>
        <w:rPr>
          <w:rFonts w:hint="eastAsia" w:ascii="宋体" w:hAnsi="宋体" w:eastAsia="宋体" w:cs="宋体"/>
          <w:sz w:val="28"/>
          <w:szCs w:val="28"/>
        </w:rPr>
        <w:t>B  招标文件说明</w:t>
      </w:r>
      <w:bookmarkEnd w:id="363"/>
    </w:p>
    <w:p>
      <w:pPr>
        <w:spacing w:line="360" w:lineRule="auto"/>
        <w:rPr>
          <w:rFonts w:hint="eastAsia" w:ascii="宋体" w:hAnsi="宋体" w:eastAsia="宋体" w:cs="宋体"/>
          <w:sz w:val="24"/>
          <w:szCs w:val="24"/>
        </w:rPr>
      </w:pPr>
      <w:r>
        <w:rPr>
          <w:rFonts w:hint="eastAsia" w:ascii="宋体" w:hAnsi="宋体" w:eastAsia="宋体" w:cs="宋体"/>
          <w:sz w:val="24"/>
          <w:szCs w:val="24"/>
        </w:rPr>
        <w:t>6.招标文件的构成</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6.1招标文件由下述部分组成：</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6.1.1投标邀请书</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6.1.2采购内容及技术要求</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6.1.3投标人须知</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 xml:space="preserve">6.1.4合同格式 </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6.1.5投标文件格式</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6.2招标文件以中文编印，且以中文为准。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6.3除非有特殊要求，招标文件不单独提供招标项目所在地的自然环境、气候条件、公用设施等情况，投标人被视为熟悉上述与履行合同有关的一切情况。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7.招标文件的澄清</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7.1投标人对招标文件如有疑问，可要求澄清，应在收到招标文件之日起七个工作日之内，按招标文件载明的通讯方式以书面形式（信函，下同）通知采购人，采购人将视情况确定采用适当方式予以澄清或以书面形式予以答复，并在其认为必要时，将不标明查询来源的书面答复发给已购买招标文件的每一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7.2凡对本次招标提出的询问，均以采购人的书面答复为准。</w:t>
      </w:r>
    </w:p>
    <w:p>
      <w:pPr>
        <w:spacing w:line="360" w:lineRule="auto"/>
        <w:rPr>
          <w:rFonts w:hint="eastAsia" w:ascii="宋体" w:hAnsi="宋体" w:eastAsia="宋体" w:cs="宋体"/>
          <w:sz w:val="24"/>
          <w:szCs w:val="24"/>
        </w:rPr>
      </w:pPr>
      <w:r>
        <w:rPr>
          <w:rFonts w:hint="eastAsia" w:ascii="宋体" w:hAnsi="宋体" w:eastAsia="宋体" w:cs="宋体"/>
          <w:sz w:val="24"/>
          <w:szCs w:val="24"/>
        </w:rPr>
        <w:t>8.招标文件的修改</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8.1采购人对已发出的招标文件进行必要澄清或者修改，澄清或者修改的内容可能影响投标文件编制的，采购人应当在投标截止时间至少15日前，以书面形式通知所有获取招标文件的潜在投标人。该澄清或者修改的内容为招标文件的组成部分。投标人在收到该通知后应立即以书面的形式予以确认。</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8.2为使投标人在准备投标文件时有合理的时间考虑其投标文件的修改，采购人可酌情推迟投标截止时间和开标时间，并以书面形式通知已购买招标文件的每一投标人。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8.3招标文件的修改书将构成招标文件的一部分，对投标人有约束力。</w:t>
      </w:r>
    </w:p>
    <w:p>
      <w:pPr>
        <w:pStyle w:val="5"/>
        <w:spacing w:before="120" w:after="120" w:line="360" w:lineRule="auto"/>
        <w:jc w:val="center"/>
        <w:rPr>
          <w:rFonts w:hint="eastAsia" w:ascii="宋体" w:hAnsi="宋体" w:eastAsia="宋体" w:cs="宋体"/>
          <w:sz w:val="28"/>
          <w:szCs w:val="28"/>
        </w:rPr>
      </w:pPr>
      <w:bookmarkStart w:id="364" w:name="_Toc13499"/>
      <w:r>
        <w:rPr>
          <w:rFonts w:hint="eastAsia" w:ascii="宋体" w:hAnsi="宋体" w:eastAsia="宋体" w:cs="宋体"/>
          <w:sz w:val="28"/>
          <w:szCs w:val="28"/>
        </w:rPr>
        <w:t>C  投标文件的编写</w:t>
      </w:r>
      <w:bookmarkEnd w:id="364"/>
    </w:p>
    <w:p>
      <w:pPr>
        <w:spacing w:line="360" w:lineRule="auto"/>
        <w:rPr>
          <w:rFonts w:hint="eastAsia" w:ascii="宋体" w:hAnsi="宋体" w:eastAsia="宋体" w:cs="宋体"/>
          <w:sz w:val="24"/>
          <w:szCs w:val="24"/>
        </w:rPr>
      </w:pPr>
      <w:r>
        <w:rPr>
          <w:rFonts w:hint="eastAsia" w:ascii="宋体" w:hAnsi="宋体" w:eastAsia="宋体" w:cs="宋体"/>
          <w:sz w:val="24"/>
          <w:szCs w:val="24"/>
        </w:rPr>
        <w:t>9.要求</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9.1投标人应仔细阅读招标文件的所有内容，按照招标文件的要求提供投标文件，并保证所提供的全部资料的真实性，以使其投标对招标文件做出实质性响应，否则，其投标可能被拒绝。</w:t>
      </w:r>
    </w:p>
    <w:p>
      <w:pPr>
        <w:spacing w:line="360" w:lineRule="auto"/>
        <w:rPr>
          <w:rFonts w:hint="eastAsia" w:ascii="宋体" w:hAnsi="宋体" w:eastAsia="宋体" w:cs="宋体"/>
          <w:sz w:val="24"/>
          <w:szCs w:val="24"/>
        </w:rPr>
      </w:pPr>
      <w:r>
        <w:rPr>
          <w:rFonts w:hint="eastAsia" w:ascii="宋体" w:hAnsi="宋体" w:eastAsia="宋体" w:cs="宋体"/>
          <w:sz w:val="24"/>
          <w:szCs w:val="24"/>
        </w:rPr>
        <w:t>10.投标语言及计量单位</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10.1投标文件及投标人和采购人就投标交换的文件和来往信件，应以中文书写。</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10.2除在招标文件的第二部分技术要求中另有规定外，计量单位应使用中华人民共和国法定计量单位。</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10.3外文材料应提供第三方权威翻译。</w:t>
      </w:r>
    </w:p>
    <w:p>
      <w:pPr>
        <w:spacing w:line="360" w:lineRule="auto"/>
        <w:rPr>
          <w:rFonts w:hint="eastAsia" w:ascii="宋体" w:hAnsi="宋体" w:eastAsia="宋体" w:cs="宋体"/>
          <w:sz w:val="24"/>
          <w:szCs w:val="24"/>
        </w:rPr>
      </w:pPr>
      <w:r>
        <w:rPr>
          <w:rFonts w:hint="eastAsia" w:ascii="宋体" w:hAnsi="宋体" w:eastAsia="宋体" w:cs="宋体"/>
          <w:sz w:val="24"/>
          <w:szCs w:val="24"/>
        </w:rPr>
        <w:t>11.投标文件的组成</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11.1投标文件应包括下列部分：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11.1.1商务部分：投标函、开标一览表、</w:t>
      </w:r>
      <w:r>
        <w:rPr>
          <w:rFonts w:hint="eastAsia" w:ascii="宋体" w:hAnsi="宋体" w:eastAsia="宋体" w:cs="宋体"/>
        </w:rPr>
        <w:t>供货范围明细表、</w:t>
      </w:r>
      <w:r>
        <w:rPr>
          <w:rFonts w:hint="eastAsia" w:ascii="宋体" w:hAnsi="宋体" w:eastAsia="宋体" w:cs="宋体"/>
          <w:szCs w:val="24"/>
        </w:rPr>
        <w:t>商务及技术偏差表、资格证明文件等。</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11.1.2技术部分：相关货物的选配方案及技术说明、方案、合理化建议、技术培训及服务、验收。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11.1.3投标内容符合招标文件规定的证明文件及投标人认为需加以说明的其他内容。</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11.1.4投标保证金。</w:t>
      </w:r>
    </w:p>
    <w:p>
      <w:pPr>
        <w:pStyle w:val="9"/>
        <w:spacing w:line="360" w:lineRule="auto"/>
        <w:ind w:firstLine="240" w:firstLineChars="100"/>
        <w:rPr>
          <w:rFonts w:hint="eastAsia" w:ascii="宋体" w:hAnsi="宋体" w:eastAsia="宋体" w:cs="宋体"/>
          <w:szCs w:val="24"/>
          <w:u w:val="single"/>
        </w:rPr>
      </w:pPr>
      <w:r>
        <w:rPr>
          <w:rFonts w:hint="eastAsia" w:ascii="宋体" w:hAnsi="宋体" w:eastAsia="宋体" w:cs="宋体"/>
          <w:szCs w:val="24"/>
          <w:u w:val="single"/>
        </w:rPr>
        <w:t>投标人应将投标文件胶装成册，并填写“投标文件资料清单、目录”，以方便阅读。</w:t>
      </w:r>
    </w:p>
    <w:p>
      <w:pPr>
        <w:spacing w:line="360" w:lineRule="auto"/>
        <w:rPr>
          <w:rFonts w:hint="eastAsia" w:ascii="宋体" w:hAnsi="宋体" w:eastAsia="宋体" w:cs="宋体"/>
          <w:sz w:val="24"/>
          <w:szCs w:val="24"/>
        </w:rPr>
      </w:pPr>
      <w:r>
        <w:rPr>
          <w:rFonts w:hint="eastAsia" w:ascii="宋体" w:hAnsi="宋体" w:eastAsia="宋体" w:cs="宋体"/>
          <w:sz w:val="24"/>
          <w:szCs w:val="24"/>
        </w:rPr>
        <w:t>12.投标文件格式</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12.1投标人应按招标文件中提供的投标文件格式填写，投标文件正本和副本用A4幅面的纸张打印，并提供电子文档（U盘）密封在投标文件正本内,以供备份，电子文档及介质不退。</w:t>
      </w:r>
    </w:p>
    <w:p>
      <w:pPr>
        <w:pStyle w:val="9"/>
        <w:spacing w:line="360" w:lineRule="auto"/>
        <w:ind w:firstLine="240" w:firstLineChars="100"/>
        <w:rPr>
          <w:rFonts w:hint="eastAsia" w:ascii="宋体" w:hAnsi="宋体" w:eastAsia="宋体" w:cs="宋体"/>
          <w:b/>
          <w:bCs/>
          <w:szCs w:val="24"/>
          <w:u w:val="single"/>
        </w:rPr>
      </w:pPr>
      <w:r>
        <w:rPr>
          <w:rFonts w:hint="eastAsia" w:ascii="宋体" w:hAnsi="宋体" w:eastAsia="宋体" w:cs="宋体"/>
          <w:szCs w:val="24"/>
        </w:rPr>
        <w:t>12.2</w:t>
      </w:r>
      <w:r>
        <w:rPr>
          <w:rFonts w:hint="eastAsia" w:ascii="宋体" w:hAnsi="宋体" w:eastAsia="宋体" w:cs="宋体"/>
          <w:b w:val="0"/>
          <w:bCs/>
          <w:szCs w:val="24"/>
        </w:rPr>
        <w:t>正本中的“开标一览表”用于开标时唱标用。</w:t>
      </w:r>
      <w:r>
        <w:rPr>
          <w:rFonts w:hint="eastAsia" w:ascii="宋体" w:hAnsi="宋体" w:eastAsia="宋体" w:cs="宋体"/>
          <w:b w:val="0"/>
          <w:bCs/>
          <w:szCs w:val="24"/>
          <w:u w:val="single"/>
        </w:rPr>
        <w:t>所有价格折扣必须在开标一览表中注明，否则评标时不予承认。</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12.3投标人必须按招标文件的顺序对各章的每一项给予明确应答,必须清楚地表明是否满足招标文件中各章每一项的要求。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13.投标报价</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13.1投标人应在招标文件所附的投标货物数量价格表上写明投标内容的单价和投标总价。投标报价为应包括货物的检验、包装、保险、运输、税金、图纸资料、技术服务、售后服务、培训等全部费用。</w:t>
      </w:r>
      <w:r>
        <w:rPr>
          <w:rFonts w:hint="eastAsia" w:ascii="宋体" w:hAnsi="宋体" w:eastAsia="宋体" w:cs="宋体"/>
          <w:szCs w:val="24"/>
          <w:u w:val="single"/>
        </w:rPr>
        <w:t>投标人只允许有一个报价，采购人接受有任何选择性的报价</w:t>
      </w:r>
      <w:r>
        <w:rPr>
          <w:rFonts w:hint="eastAsia" w:ascii="宋体" w:hAnsi="宋体" w:eastAsia="宋体" w:cs="宋体"/>
          <w:szCs w:val="24"/>
        </w:rPr>
        <w:t>。</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13.2开标时，投标文件中开标一览表内容与投标文件中相应内容不一致的，以开标一览表为准；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13.3供货范围明细表填写时应注意下列要求：</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13.3.1备品备件、易损件和专用工具的费用；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13.3.2供货、培训及验收其他附带服务的费用；</w:t>
      </w:r>
    </w:p>
    <w:p>
      <w:pPr>
        <w:pStyle w:val="9"/>
        <w:spacing w:line="360" w:lineRule="auto"/>
        <w:rPr>
          <w:rFonts w:hint="eastAsia" w:ascii="宋体" w:hAnsi="宋体" w:eastAsia="宋体" w:cs="宋体"/>
          <w:szCs w:val="24"/>
        </w:rPr>
      </w:pPr>
      <w:r>
        <w:rPr>
          <w:rFonts w:hint="eastAsia" w:ascii="宋体" w:hAnsi="宋体" w:eastAsia="宋体" w:cs="宋体"/>
          <w:szCs w:val="24"/>
        </w:rPr>
        <w:t>14.投标货币</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14.1投标文件中的所有报价均用人民币填报。</w:t>
      </w:r>
    </w:p>
    <w:p>
      <w:pPr>
        <w:pStyle w:val="9"/>
        <w:spacing w:line="360" w:lineRule="auto"/>
        <w:rPr>
          <w:rFonts w:hint="eastAsia" w:ascii="宋体" w:hAnsi="宋体" w:eastAsia="宋体" w:cs="宋体"/>
          <w:b/>
          <w:szCs w:val="24"/>
        </w:rPr>
      </w:pPr>
      <w:r>
        <w:rPr>
          <w:rFonts w:hint="eastAsia" w:ascii="宋体" w:hAnsi="宋体" w:eastAsia="宋体" w:cs="宋体"/>
          <w:szCs w:val="24"/>
        </w:rPr>
        <w:t>15.</w:t>
      </w:r>
      <w:r>
        <w:rPr>
          <w:rFonts w:hint="eastAsia" w:ascii="宋体" w:hAnsi="宋体" w:eastAsia="宋体" w:cs="宋体"/>
          <w:b/>
          <w:szCs w:val="24"/>
        </w:rPr>
        <w:t>投标人资格证明文件</w:t>
      </w:r>
    </w:p>
    <w:p>
      <w:pPr>
        <w:pStyle w:val="9"/>
        <w:spacing w:line="360" w:lineRule="auto"/>
        <w:ind w:firstLine="241" w:firstLineChars="100"/>
        <w:rPr>
          <w:rFonts w:hint="eastAsia" w:ascii="宋体" w:hAnsi="宋体" w:eastAsia="宋体" w:cs="宋体"/>
          <w:szCs w:val="24"/>
        </w:rPr>
      </w:pPr>
      <w:r>
        <w:rPr>
          <w:rFonts w:hint="eastAsia" w:ascii="宋体" w:hAnsi="宋体" w:eastAsia="宋体" w:cs="宋体"/>
          <w:b/>
          <w:szCs w:val="24"/>
        </w:rPr>
        <w:t>15.1详见附件格式七</w:t>
      </w:r>
    </w:p>
    <w:p>
      <w:pPr>
        <w:pStyle w:val="9"/>
        <w:spacing w:line="360" w:lineRule="auto"/>
        <w:rPr>
          <w:rFonts w:hint="eastAsia" w:ascii="宋体" w:hAnsi="宋体" w:eastAsia="宋体" w:cs="宋体"/>
          <w:szCs w:val="24"/>
        </w:rPr>
      </w:pPr>
      <w:r>
        <w:rPr>
          <w:rFonts w:hint="eastAsia" w:ascii="宋体" w:hAnsi="宋体" w:eastAsia="宋体" w:cs="宋体"/>
          <w:szCs w:val="24"/>
        </w:rPr>
        <w:t>16.投标内容须是符合招标文件规定的响应文件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16.1 投标人须提交证明其投标内容符合招标文件规定的响应文件，作为投标文件的一部分。</w:t>
      </w:r>
    </w:p>
    <w:p>
      <w:pPr>
        <w:pStyle w:val="9"/>
        <w:spacing w:line="360" w:lineRule="auto"/>
        <w:ind w:firstLine="241" w:firstLineChars="100"/>
        <w:rPr>
          <w:rFonts w:hint="eastAsia" w:ascii="宋体" w:hAnsi="宋体" w:eastAsia="宋体" w:cs="宋体"/>
          <w:b/>
          <w:szCs w:val="24"/>
          <w:u w:val="single"/>
        </w:rPr>
      </w:pPr>
      <w:r>
        <w:rPr>
          <w:rFonts w:hint="eastAsia" w:ascii="宋体" w:hAnsi="宋体" w:eastAsia="宋体" w:cs="宋体"/>
          <w:b/>
          <w:szCs w:val="24"/>
          <w:u w:val="single"/>
        </w:rPr>
        <w:t>16.2 上述文件可以是文件资料、数据、图纸。</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16.2.1所投货物技术性能、参数的详细描述；</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16.2.2综合说明；</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16.2.3</w:t>
      </w:r>
      <w:r>
        <w:rPr>
          <w:rFonts w:hint="eastAsia" w:ascii="宋体" w:hAnsi="宋体" w:eastAsia="宋体" w:cs="宋体"/>
        </w:rPr>
        <w:t>供货范围明细表</w:t>
      </w:r>
      <w:r>
        <w:rPr>
          <w:rFonts w:hint="eastAsia" w:ascii="宋体" w:hAnsi="宋体" w:eastAsia="宋体" w:cs="宋体"/>
          <w:szCs w:val="24"/>
        </w:rPr>
        <w:t>；</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16.2.4偏离表；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16.2.5招标文件要求提交的其它内容。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17.投标保证金</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17.1 投标保证金为投标文件的组成部分之一；</w:t>
      </w:r>
    </w:p>
    <w:p>
      <w:pPr>
        <w:pStyle w:val="9"/>
        <w:spacing w:line="360" w:lineRule="auto"/>
        <w:ind w:firstLine="240" w:firstLineChars="100"/>
        <w:rPr>
          <w:rFonts w:hint="eastAsia" w:ascii="宋体" w:hAnsi="宋体" w:eastAsia="宋体" w:cs="宋体"/>
          <w:b/>
          <w:color w:val="auto"/>
          <w:szCs w:val="24"/>
          <w:u w:val="single"/>
        </w:rPr>
      </w:pPr>
      <w:r>
        <w:rPr>
          <w:rFonts w:hint="eastAsia" w:ascii="宋体" w:hAnsi="宋体" w:eastAsia="宋体" w:cs="宋体"/>
          <w:color w:val="auto"/>
          <w:szCs w:val="24"/>
        </w:rPr>
        <w:t>17.2</w:t>
      </w:r>
      <w:r>
        <w:rPr>
          <w:rFonts w:hint="eastAsia" w:ascii="宋体" w:hAnsi="宋体" w:eastAsia="宋体" w:cs="宋体"/>
          <w:b/>
          <w:color w:val="auto"/>
          <w:szCs w:val="24"/>
          <w:u w:val="single"/>
        </w:rPr>
        <w:t xml:space="preserve">投标人应向采购人提交投标保证金人民币  （¥ </w:t>
      </w:r>
      <w:r>
        <w:rPr>
          <w:rFonts w:hint="eastAsia" w:hAnsi="宋体" w:cs="宋体"/>
          <w:b/>
          <w:color w:val="auto"/>
          <w:szCs w:val="24"/>
          <w:u w:val="single"/>
          <w:lang w:val="en-US" w:eastAsia="zh-CN"/>
        </w:rPr>
        <w:t>******</w:t>
      </w:r>
      <w:r>
        <w:rPr>
          <w:rFonts w:hint="eastAsia" w:ascii="宋体" w:hAnsi="宋体" w:eastAsia="宋体" w:cs="宋体"/>
          <w:b/>
          <w:color w:val="auto"/>
          <w:szCs w:val="24"/>
          <w:u w:val="single"/>
        </w:rPr>
        <w:t>元）</w:t>
      </w:r>
      <w:r>
        <w:rPr>
          <w:rFonts w:hint="eastAsia" w:ascii="宋体" w:hAnsi="宋体" w:eastAsia="宋体" w:cs="宋体"/>
          <w:b/>
          <w:color w:val="auto"/>
          <w:szCs w:val="24"/>
        </w:rPr>
        <w:t>；</w:t>
      </w:r>
    </w:p>
    <w:p>
      <w:pPr>
        <w:pStyle w:val="9"/>
        <w:spacing w:line="360" w:lineRule="auto"/>
        <w:ind w:firstLine="240" w:firstLineChars="100"/>
        <w:rPr>
          <w:rFonts w:hint="eastAsia" w:ascii="宋体" w:hAnsi="宋体" w:eastAsia="宋体" w:cs="宋体"/>
          <w:bCs/>
          <w:szCs w:val="24"/>
        </w:rPr>
      </w:pPr>
      <w:r>
        <w:rPr>
          <w:rFonts w:hint="eastAsia" w:ascii="宋体" w:hAnsi="宋体" w:eastAsia="宋体" w:cs="宋体"/>
          <w:szCs w:val="24"/>
        </w:rPr>
        <w:t>17.3</w:t>
      </w:r>
      <w:r>
        <w:rPr>
          <w:rFonts w:hint="eastAsia" w:ascii="宋体" w:hAnsi="宋体" w:eastAsia="宋体" w:cs="宋体"/>
          <w:bCs/>
          <w:szCs w:val="24"/>
        </w:rPr>
        <w:t>投标保证金应当</w:t>
      </w:r>
      <w:r>
        <w:rPr>
          <w:rFonts w:hint="eastAsia" w:hAnsi="宋体" w:cs="宋体"/>
          <w:bCs/>
          <w:szCs w:val="24"/>
          <w:lang w:eastAsia="zh-CN"/>
        </w:rPr>
        <w:t>电汇形式汇到我公司规定账户</w:t>
      </w:r>
      <w:r>
        <w:rPr>
          <w:rFonts w:hint="eastAsia" w:ascii="宋体" w:hAnsi="宋体" w:eastAsia="宋体" w:cs="宋体"/>
          <w:bCs/>
          <w:szCs w:val="24"/>
        </w:rPr>
        <w:t>；</w:t>
      </w:r>
    </w:p>
    <w:p>
      <w:pPr>
        <w:pStyle w:val="9"/>
        <w:spacing w:line="360" w:lineRule="auto"/>
        <w:ind w:firstLine="240" w:firstLineChars="100"/>
        <w:rPr>
          <w:rFonts w:hint="eastAsia" w:ascii="宋体" w:hAnsi="宋体" w:eastAsia="宋体" w:cs="宋体"/>
          <w:bCs/>
        </w:rPr>
      </w:pPr>
      <w:r>
        <w:rPr>
          <w:rFonts w:hint="eastAsia" w:ascii="宋体" w:hAnsi="宋体" w:eastAsia="宋体" w:cs="宋体"/>
          <w:szCs w:val="24"/>
        </w:rPr>
        <w:t>17.4</w:t>
      </w:r>
      <w:r>
        <w:rPr>
          <w:rFonts w:hint="eastAsia" w:ascii="宋体" w:hAnsi="宋体" w:eastAsia="宋体" w:cs="宋体"/>
          <w:bCs/>
          <w:szCs w:val="24"/>
        </w:rPr>
        <w:t>投标保证金在</w:t>
      </w:r>
      <w:r>
        <w:rPr>
          <w:rFonts w:hint="eastAsia" w:hAnsi="宋体" w:cs="宋体"/>
          <w:bCs/>
          <w:szCs w:val="24"/>
          <w:lang w:eastAsia="zh-CN"/>
        </w:rPr>
        <w:t>中标后缴纳</w:t>
      </w:r>
      <w:r>
        <w:rPr>
          <w:rFonts w:hint="eastAsia" w:ascii="宋体" w:hAnsi="宋体" w:eastAsia="宋体" w:cs="宋体"/>
          <w:bCs/>
        </w:rPr>
        <w:t>；</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w:t>
      </w:r>
      <w:r>
        <w:rPr>
          <w:rFonts w:hint="eastAsia" w:ascii="宋体" w:hAnsi="宋体" w:eastAsia="宋体" w:cs="宋体"/>
          <w:b w:val="0"/>
          <w:bCs w:val="0"/>
          <w:szCs w:val="24"/>
          <w:u w:val="none"/>
        </w:rPr>
        <w:t>.5</w:t>
      </w:r>
      <w:r>
        <w:rPr>
          <w:rFonts w:hint="eastAsia" w:ascii="宋体" w:hAnsi="宋体" w:eastAsia="宋体" w:cs="宋体"/>
          <w:b w:val="0"/>
          <w:bCs w:val="0"/>
          <w:u w:val="none"/>
        </w:rPr>
        <w:t>请投标人填写投标保证金退付表并</w:t>
      </w:r>
      <w:r>
        <w:rPr>
          <w:rFonts w:hint="eastAsia" w:ascii="宋体" w:hAnsi="宋体" w:eastAsia="宋体" w:cs="宋体"/>
          <w:b w:val="0"/>
          <w:bCs w:val="0"/>
          <w:szCs w:val="24"/>
          <w:u w:val="none"/>
        </w:rPr>
        <w:t>随投标文件一并提交（</w:t>
      </w:r>
      <w:r>
        <w:rPr>
          <w:rFonts w:hint="eastAsia" w:ascii="宋体" w:hAnsi="宋体" w:eastAsia="宋体" w:cs="宋体"/>
          <w:b w:val="0"/>
          <w:bCs w:val="0"/>
          <w:u w:val="none"/>
        </w:rPr>
        <w:t>详见附件十</w:t>
      </w:r>
      <w:r>
        <w:rPr>
          <w:rFonts w:hint="eastAsia" w:ascii="宋体" w:hAnsi="宋体" w:eastAsia="宋体" w:cs="宋体"/>
          <w:b w:val="0"/>
          <w:bCs w:val="0"/>
          <w:szCs w:val="24"/>
          <w:u w:val="none"/>
        </w:rPr>
        <w:t>）</w:t>
      </w:r>
      <w:r>
        <w:rPr>
          <w:rFonts w:hint="eastAsia" w:ascii="宋体" w:hAnsi="宋体" w:eastAsia="宋体" w:cs="宋体"/>
          <w:b/>
        </w:rPr>
        <w:t>；</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17.6投标保证金用于保护本次招标免受投标人的行为而引起的风险，投标保证金有效期应当与投标有效期一致；</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17.7未按规定提交投标保证金的投标，</w:t>
      </w:r>
      <w:r>
        <w:rPr>
          <w:rFonts w:hint="eastAsia" w:ascii="宋体" w:hAnsi="宋体" w:eastAsia="宋体" w:cs="宋体"/>
        </w:rPr>
        <w:t>投标将被拒绝</w:t>
      </w:r>
      <w:r>
        <w:rPr>
          <w:rFonts w:hint="eastAsia" w:ascii="宋体" w:hAnsi="宋体" w:eastAsia="宋体" w:cs="宋体"/>
          <w:szCs w:val="24"/>
        </w:rPr>
        <w:t>；</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17.8未中标的投标人的投标保证金，将按30.2款的规定予以无息退还；</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17.9中标的投标人的投标保证金，在签订合同后5个工作日内予以无息退还；</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 发生以下情况之一者投标保证金将不予退还：</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17.10.1开标后投标人在投标有效期内撤回投标；</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17.10.2中标人未按本须知第32条规定签订合同；</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17.10.3投标人出现本须知第35条规定的行为。</w:t>
      </w:r>
    </w:p>
    <w:p>
      <w:pPr>
        <w:spacing w:line="360" w:lineRule="auto"/>
        <w:rPr>
          <w:rFonts w:hint="eastAsia" w:ascii="宋体" w:hAnsi="宋体" w:eastAsia="宋体" w:cs="宋体"/>
          <w:sz w:val="24"/>
          <w:szCs w:val="24"/>
        </w:rPr>
      </w:pPr>
      <w:r>
        <w:rPr>
          <w:rFonts w:hint="eastAsia" w:ascii="宋体" w:hAnsi="宋体" w:eastAsia="宋体" w:cs="宋体"/>
          <w:sz w:val="24"/>
          <w:szCs w:val="24"/>
        </w:rPr>
        <w:t>18.投标有效期</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18.1从开标之日起，投标有效期为90日历日。有效期短于这个规定期限的投标，将被拒绝。</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18.2特殊情况下，在投标有效期满之前，采购人可以以书面形式要求投标人同意延长投标有效期。投标人可以书面形式拒绝或接受上述要求。拒绝延长投标有效期的投标人有权收回投标保证金，同意延长投标有效期的投标人应当相应延长其投标保证金的有效期，但不得修改投标文件的实质性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19.投标文件的签署及规定</w:t>
      </w:r>
    </w:p>
    <w:p>
      <w:pPr>
        <w:pStyle w:val="9"/>
        <w:spacing w:line="360" w:lineRule="auto"/>
        <w:ind w:firstLine="240" w:firstLineChars="100"/>
        <w:rPr>
          <w:rFonts w:hint="eastAsia" w:ascii="宋体" w:hAnsi="宋体" w:eastAsia="宋体" w:cs="宋体"/>
          <w:szCs w:val="24"/>
          <w:u w:val="single"/>
        </w:rPr>
      </w:pPr>
      <w:r>
        <w:rPr>
          <w:rFonts w:hint="eastAsia" w:ascii="宋体" w:hAnsi="宋体" w:eastAsia="宋体" w:cs="宋体"/>
          <w:szCs w:val="24"/>
        </w:rPr>
        <w:t>19.1投标人应准备投标文件</w:t>
      </w:r>
      <w:r>
        <w:rPr>
          <w:rFonts w:hint="eastAsia" w:ascii="宋体" w:hAnsi="宋体" w:eastAsia="宋体" w:cs="宋体"/>
          <w:b/>
          <w:szCs w:val="24"/>
          <w:u w:val="single"/>
        </w:rPr>
        <w:t>一份正本、</w:t>
      </w:r>
      <w:r>
        <w:rPr>
          <w:rFonts w:hint="eastAsia" w:hAnsi="宋体" w:cs="宋体"/>
          <w:b/>
          <w:szCs w:val="24"/>
          <w:u w:val="single"/>
          <w:lang w:eastAsia="zh-CN"/>
        </w:rPr>
        <w:t>一</w:t>
      </w:r>
      <w:r>
        <w:rPr>
          <w:rFonts w:hint="eastAsia" w:ascii="宋体" w:hAnsi="宋体" w:eastAsia="宋体" w:cs="宋体"/>
          <w:b/>
          <w:szCs w:val="24"/>
          <w:u w:val="single"/>
        </w:rPr>
        <w:t>份副本及一份电子文档</w:t>
      </w:r>
      <w:r>
        <w:rPr>
          <w:rFonts w:hint="eastAsia" w:ascii="宋体" w:hAnsi="宋体" w:eastAsia="宋体" w:cs="宋体"/>
          <w:szCs w:val="24"/>
          <w:u w:val="single"/>
        </w:rPr>
        <w:t>，每一份投标文件上要明确注明“正本”或“副本”字样，一旦正本和副本有差异，以正本为准。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19.2</w:t>
      </w:r>
      <w:r>
        <w:rPr>
          <w:rFonts w:hint="eastAsia" w:ascii="宋体" w:hAnsi="宋体" w:eastAsia="宋体" w:cs="宋体"/>
        </w:rPr>
        <w:t>投标文件正本和副本需胶装成册，经正式授权的投标人代表签字并加盖公章。</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19.3除投标人对错处作必要修改外，投标文件中不许有加行、涂抹或改写。若有修改则必须由投标人授权代表签字。</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19.4投标文件因字迹潦草或表达不清所引起的后果由投标人负责。</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19.5电报、电话、传真形式的投标概不接受。</w:t>
      </w:r>
    </w:p>
    <w:p>
      <w:pPr>
        <w:pStyle w:val="5"/>
        <w:spacing w:before="120" w:after="120" w:line="360" w:lineRule="auto"/>
        <w:jc w:val="center"/>
        <w:rPr>
          <w:rFonts w:hint="eastAsia" w:ascii="宋体" w:hAnsi="宋体" w:eastAsia="宋体" w:cs="宋体"/>
          <w:sz w:val="28"/>
          <w:szCs w:val="28"/>
        </w:rPr>
      </w:pPr>
      <w:bookmarkStart w:id="365" w:name="_Toc15937"/>
      <w:r>
        <w:rPr>
          <w:rFonts w:hint="eastAsia" w:ascii="宋体" w:hAnsi="宋体" w:eastAsia="宋体" w:cs="宋体"/>
          <w:sz w:val="28"/>
          <w:szCs w:val="28"/>
        </w:rPr>
        <w:t>D  投标文件的递交</w:t>
      </w:r>
      <w:bookmarkEnd w:id="365"/>
    </w:p>
    <w:p>
      <w:pPr>
        <w:spacing w:line="360" w:lineRule="auto"/>
        <w:rPr>
          <w:rFonts w:hint="eastAsia" w:ascii="宋体" w:hAnsi="宋体" w:eastAsia="宋体" w:cs="宋体"/>
          <w:sz w:val="24"/>
          <w:szCs w:val="24"/>
        </w:rPr>
      </w:pPr>
      <w:r>
        <w:rPr>
          <w:rFonts w:hint="eastAsia" w:ascii="宋体" w:hAnsi="宋体" w:eastAsia="宋体" w:cs="宋体"/>
          <w:sz w:val="24"/>
          <w:szCs w:val="24"/>
        </w:rPr>
        <w:t>20.投标文件的密封和标记</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20.1投标人应将投标文件正本和副本密封，并标明招标编号、项目名称、（所投包号）投标人名称等字样。</w:t>
      </w:r>
    </w:p>
    <w:p>
      <w:pPr>
        <w:pStyle w:val="9"/>
        <w:spacing w:line="360" w:lineRule="auto"/>
        <w:ind w:firstLine="240" w:firstLineChars="100"/>
        <w:rPr>
          <w:rFonts w:hint="eastAsia" w:ascii="宋体" w:hAnsi="宋体" w:eastAsia="宋体" w:cs="宋体"/>
          <w:bCs/>
          <w:szCs w:val="24"/>
        </w:rPr>
      </w:pPr>
      <w:r>
        <w:rPr>
          <w:rFonts w:hint="eastAsia" w:ascii="宋体" w:hAnsi="宋体" w:eastAsia="宋体" w:cs="宋体"/>
          <w:szCs w:val="24"/>
        </w:rPr>
        <w:t>20.2投标文件由专人送交，投标人应将投标文件按上述规定进行密封和标记后，按招标书注明的地址送至开标地点。</w:t>
      </w:r>
      <w:r>
        <w:rPr>
          <w:rFonts w:hint="eastAsia" w:ascii="宋体" w:hAnsi="宋体" w:eastAsia="宋体" w:cs="宋体"/>
          <w:bCs/>
          <w:szCs w:val="24"/>
        </w:rPr>
        <w:t>未密封或未按规定密封的投标文件不予接受。</w:t>
      </w:r>
    </w:p>
    <w:p>
      <w:pPr>
        <w:spacing w:line="360" w:lineRule="auto"/>
        <w:rPr>
          <w:rFonts w:hint="eastAsia" w:ascii="宋体" w:hAnsi="宋体" w:eastAsia="宋体" w:cs="宋体"/>
          <w:sz w:val="24"/>
          <w:szCs w:val="24"/>
        </w:rPr>
      </w:pPr>
      <w:r>
        <w:rPr>
          <w:rFonts w:hint="eastAsia" w:ascii="宋体" w:hAnsi="宋体" w:eastAsia="宋体" w:cs="宋体"/>
          <w:sz w:val="24"/>
          <w:szCs w:val="24"/>
        </w:rPr>
        <w:t>21.递交投标文件的截止时间</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21.1根据21条规定，所有投标文件都必须按招标文件中规定的投标截止时间之前送达指定的投标地点。</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21.2出现第8.2款因招标文件的修改推迟投标截止日期时，则按采购人修改通知规定的时间递交。</w:t>
      </w:r>
    </w:p>
    <w:p>
      <w:pPr>
        <w:spacing w:line="360" w:lineRule="auto"/>
        <w:rPr>
          <w:rFonts w:hint="eastAsia" w:ascii="宋体" w:hAnsi="宋体" w:eastAsia="宋体" w:cs="宋体"/>
          <w:sz w:val="24"/>
          <w:szCs w:val="24"/>
        </w:rPr>
      </w:pPr>
      <w:r>
        <w:rPr>
          <w:rFonts w:hint="eastAsia" w:ascii="宋体" w:hAnsi="宋体" w:eastAsia="宋体" w:cs="宋体"/>
          <w:sz w:val="24"/>
          <w:szCs w:val="24"/>
        </w:rPr>
        <w:t>22.迟交的投标文件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22.1采购人将拒绝在投标截止时间之后递交的投标文件。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23.投标文件的修改和撤消</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23.1</w:t>
      </w:r>
      <w:r>
        <w:rPr>
          <w:rFonts w:hint="eastAsia" w:ascii="宋体" w:hAnsi="宋体" w:eastAsia="宋体" w:cs="宋体"/>
          <w:bCs/>
          <w:szCs w:val="24"/>
        </w:rPr>
        <w:t>投标人在投标截止时间前，可以对所递交的投标文件进行补充、修改或者撤回，并书面通知采购人。补充、修改的内容应当按照招标文件要求签署、盖章、密封后，作为投标文件的组成部分。</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23.2投标人对投标文件修改的书面材料或撤消的通知应按第19和20条规定进行编写、密封标注和递送，并注明“修改投标文件”或“撤消投标”字样。</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23.3投标截止时间以后不得修改投标文件。</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23.4投标人不得在开标时间起至投标文件有效期满前撤消其投标文件，否则采购人将按17.10款的规定没收其投标保证金。</w:t>
      </w:r>
    </w:p>
    <w:p>
      <w:pPr>
        <w:pStyle w:val="9"/>
        <w:spacing w:line="360" w:lineRule="auto"/>
        <w:ind w:firstLine="482" w:firstLineChars="200"/>
        <w:rPr>
          <w:rFonts w:hint="eastAsia" w:ascii="宋体" w:hAnsi="宋体" w:eastAsia="宋体" w:cs="宋体"/>
          <w:b/>
          <w:bCs/>
          <w:szCs w:val="24"/>
        </w:rPr>
      </w:pPr>
    </w:p>
    <w:p>
      <w:pPr>
        <w:pStyle w:val="5"/>
        <w:spacing w:before="0" w:after="0" w:line="276" w:lineRule="auto"/>
        <w:jc w:val="center"/>
        <w:rPr>
          <w:rFonts w:hint="eastAsia" w:ascii="宋体" w:hAnsi="宋体" w:eastAsia="宋体" w:cs="宋体"/>
          <w:bCs w:val="0"/>
          <w:sz w:val="32"/>
          <w:szCs w:val="32"/>
        </w:rPr>
      </w:pPr>
      <w:bookmarkStart w:id="366" w:name="_Toc171496380"/>
      <w:bookmarkStart w:id="367" w:name="_Toc31654"/>
      <w:r>
        <w:rPr>
          <w:rFonts w:hint="eastAsia" w:ascii="宋体" w:hAnsi="宋体" w:eastAsia="宋体" w:cs="宋体"/>
          <w:sz w:val="32"/>
          <w:szCs w:val="32"/>
        </w:rPr>
        <w:t>第四部分  投标文件格式</w:t>
      </w:r>
      <w:bookmarkEnd w:id="366"/>
      <w:bookmarkEnd w:id="367"/>
    </w:p>
    <w:p>
      <w:pPr>
        <w:pStyle w:val="5"/>
        <w:spacing w:before="0" w:after="0" w:line="240" w:lineRule="auto"/>
        <w:rPr>
          <w:rFonts w:hint="eastAsia" w:ascii="宋体" w:hAnsi="宋体" w:eastAsia="宋体" w:cs="宋体"/>
          <w:sz w:val="28"/>
          <w:szCs w:val="28"/>
        </w:rPr>
      </w:pPr>
      <w:bookmarkStart w:id="368" w:name="_Toc419219048"/>
      <w:bookmarkStart w:id="369" w:name="_Toc14248"/>
      <w:bookmarkStart w:id="370" w:name="_Toc171496381"/>
      <w:r>
        <w:rPr>
          <w:rFonts w:hint="eastAsia" w:ascii="宋体" w:hAnsi="宋体" w:eastAsia="宋体" w:cs="宋体"/>
          <w:sz w:val="28"/>
          <w:szCs w:val="28"/>
        </w:rPr>
        <w:t>附件一</w:t>
      </w:r>
      <w:bookmarkEnd w:id="368"/>
      <w:bookmarkEnd w:id="369"/>
    </w:p>
    <w:p>
      <w:pPr>
        <w:jc w:val="center"/>
        <w:rPr>
          <w:rFonts w:hint="eastAsia" w:ascii="宋体" w:hAnsi="宋体" w:eastAsia="宋体" w:cs="宋体"/>
          <w:b/>
          <w:bCs/>
          <w:sz w:val="28"/>
          <w:szCs w:val="28"/>
        </w:rPr>
      </w:pPr>
      <w:r>
        <w:rPr>
          <w:rFonts w:hint="eastAsia" w:ascii="宋体" w:hAnsi="宋体" w:eastAsia="宋体" w:cs="宋体"/>
          <w:b/>
          <w:bCs/>
          <w:sz w:val="28"/>
          <w:szCs w:val="28"/>
        </w:rPr>
        <w:t>投  标  函</w:t>
      </w:r>
      <w:bookmarkEnd w:id="370"/>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（采购人名称）：</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（投标人全称）授权（全权代表姓名）（职务、职称）为全权代表，参加贵方组织的（项目编号）采购项目招标的有关活动，并进行投标。为此：</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1、我单位提供招标文件规定的全部投标文件：投标书（正本一份、副本</w:t>
      </w:r>
      <w:r>
        <w:rPr>
          <w:rFonts w:hint="eastAsia" w:ascii="宋体" w:hAnsi="宋体" w:eastAsia="宋体" w:cs="宋体"/>
          <w:szCs w:val="24"/>
          <w:u w:val="single"/>
        </w:rPr>
        <w:t xml:space="preserve"> </w:t>
      </w:r>
      <w:r>
        <w:rPr>
          <w:rFonts w:hint="eastAsia" w:hAnsi="宋体" w:cs="宋体"/>
          <w:szCs w:val="24"/>
          <w:u w:val="single"/>
          <w:lang w:val="en-US" w:eastAsia="zh-CN"/>
        </w:rPr>
        <w:t>1</w:t>
      </w:r>
      <w:r>
        <w:rPr>
          <w:rFonts w:hint="eastAsia" w:ascii="宋体" w:hAnsi="宋体" w:eastAsia="宋体" w:cs="宋体"/>
          <w:szCs w:val="24"/>
        </w:rPr>
        <w:t>份）和电子文档一份。</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2、总投标价格详见开标一览表（须分包填写）。</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3、我单位保证遵守招标文件中的有关规定，并保证忠实地执行买卖双方所签的经济合同，并承担合同规定的责任义务。</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4、我单位同意按采购人要求提供任何与本项投标有关的数据、情况和资料。</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5、我单位保证按本项目招标文件中规定的条款参与投标活动，并为自身的行为承担相应的责任。我单位出现违反国家法律法规和本项目招标文件规定的行为，愿意接受相应的处罚并承担由此引起的赔偿责任。</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6、本投标自开标之日起</w:t>
      </w:r>
      <w:r>
        <w:rPr>
          <w:rFonts w:hint="eastAsia" w:ascii="宋体" w:hAnsi="宋体" w:eastAsia="宋体" w:cs="宋体"/>
          <w:szCs w:val="24"/>
          <w:u w:val="single"/>
        </w:rPr>
        <w:t>90</w:t>
      </w:r>
      <w:r>
        <w:rPr>
          <w:rFonts w:hint="eastAsia" w:ascii="宋体" w:hAnsi="宋体" w:eastAsia="宋体" w:cs="宋体"/>
          <w:szCs w:val="24"/>
        </w:rPr>
        <w:t>日历日内有效。</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7、我单位已经详细审查全部招标文件，包括修改文件（如有的话）以及全部参考资料和有关附件，我们完全理解并同意放弃对这方面有不明及误解的权力。</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8、在规定的开标时间后（在投标有效期内），如果我们撤回投标，投标保证金将被贵方没收。</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9、我单位完全理解贵方不一定要接受最低价的投标或收到的任何投标。</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与本投标有关的一切往来通讯请寄：</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地址：</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邮编：                 电话：                  传真：</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投标人（公章）：</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全权代表（签字）：                     日  期：</w:t>
      </w:r>
    </w:p>
    <w:p>
      <w:pPr>
        <w:rPr>
          <w:rFonts w:hint="eastAsia" w:ascii="宋体" w:hAnsi="宋体" w:eastAsia="宋体" w:cs="宋体"/>
          <w:b/>
          <w:sz w:val="28"/>
          <w:szCs w:val="28"/>
        </w:rPr>
      </w:pPr>
      <w:r>
        <w:rPr>
          <w:rFonts w:hint="eastAsia" w:ascii="宋体" w:hAnsi="宋体" w:eastAsia="宋体" w:cs="宋体"/>
          <w:szCs w:val="24"/>
        </w:rPr>
        <w:br w:type="page"/>
      </w:r>
    </w:p>
    <w:p>
      <w:pPr>
        <w:ind w:firstLine="4200" w:firstLineChars="1500"/>
        <w:rPr>
          <w:rFonts w:hint="eastAsia" w:ascii="宋体" w:hAnsi="宋体" w:eastAsia="宋体" w:cs="宋体"/>
          <w:sz w:val="28"/>
          <w:szCs w:val="28"/>
        </w:rPr>
      </w:pPr>
      <w:r>
        <w:rPr>
          <w:rFonts w:hint="eastAsia" w:ascii="宋体" w:hAnsi="宋体" w:eastAsia="宋体" w:cs="宋体"/>
          <w:sz w:val="28"/>
          <w:szCs w:val="28"/>
        </w:rPr>
        <w:t>综合说明</w:t>
      </w:r>
    </w:p>
    <w:p>
      <w:pPr>
        <w:rPr>
          <w:rFonts w:hint="eastAsia" w:ascii="宋体" w:hAnsi="宋体" w:eastAsia="宋体" w:cs="宋体"/>
          <w:b/>
          <w:sz w:val="24"/>
        </w:rPr>
      </w:pPr>
    </w:p>
    <w:p>
      <w:pPr>
        <w:pStyle w:val="9"/>
        <w:spacing w:line="360" w:lineRule="auto"/>
        <w:ind w:firstLine="482" w:firstLineChars="200"/>
        <w:rPr>
          <w:rFonts w:hint="eastAsia" w:ascii="宋体" w:hAnsi="宋体" w:eastAsia="宋体" w:cs="宋体"/>
        </w:rPr>
      </w:pPr>
      <w:r>
        <w:rPr>
          <w:rFonts w:hint="eastAsia" w:ascii="宋体" w:hAnsi="宋体" w:eastAsia="宋体" w:cs="宋体"/>
          <w:b/>
        </w:rPr>
        <w:t>1．</w:t>
      </w:r>
      <w:r>
        <w:rPr>
          <w:rFonts w:hint="eastAsia" w:ascii="宋体" w:hAnsi="宋体" w:eastAsia="宋体" w:cs="宋体"/>
        </w:rPr>
        <w:t>投标人的总体情况、技术实力、专业技术能力、生产能力及生产所必须的设备等；所提供货物、系统或服务的总体情况等的综述或或企业基本状况表；</w:t>
      </w:r>
    </w:p>
    <w:p>
      <w:pPr>
        <w:pStyle w:val="9"/>
        <w:spacing w:line="360" w:lineRule="auto"/>
        <w:ind w:firstLine="480" w:firstLineChars="200"/>
        <w:rPr>
          <w:rFonts w:hint="eastAsia" w:ascii="宋体" w:hAnsi="宋体" w:eastAsia="宋体" w:cs="宋体"/>
        </w:rPr>
      </w:pPr>
      <w:r>
        <w:rPr>
          <w:rFonts w:hint="eastAsia" w:ascii="宋体" w:hAnsi="宋体" w:eastAsia="宋体" w:cs="宋体"/>
        </w:rPr>
        <w:t>2.付款方式及质保期（要求不低于招标文件要求）；</w:t>
      </w:r>
    </w:p>
    <w:p>
      <w:pPr>
        <w:pStyle w:val="9"/>
        <w:spacing w:line="360" w:lineRule="auto"/>
        <w:ind w:firstLine="480" w:firstLineChars="200"/>
        <w:rPr>
          <w:rFonts w:hint="eastAsia" w:ascii="宋体" w:hAnsi="宋体" w:eastAsia="宋体" w:cs="宋体"/>
        </w:rPr>
      </w:pPr>
      <w:r>
        <w:rPr>
          <w:rFonts w:hint="eastAsia" w:ascii="宋体" w:hAnsi="宋体" w:eastAsia="宋体" w:cs="宋体"/>
        </w:rPr>
        <w:t>3.投标人应对采购人的技术要求做出实质性的响应,并说明技术特点和优点；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4.投标人获得的产品、安全、质量、环境、节能等认证；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5.生产所采用的技术标准以及相关新技术、专利技术； </w:t>
      </w:r>
    </w:p>
    <w:p>
      <w:pPr>
        <w:pStyle w:val="9"/>
        <w:spacing w:line="360" w:lineRule="auto"/>
        <w:ind w:firstLine="480" w:firstLineChars="200"/>
        <w:rPr>
          <w:rFonts w:hint="eastAsia" w:ascii="宋体" w:hAnsi="宋体" w:eastAsia="宋体" w:cs="宋体"/>
        </w:rPr>
      </w:pPr>
      <w:r>
        <w:rPr>
          <w:rFonts w:hint="eastAsia" w:ascii="宋体" w:hAnsi="宋体" w:eastAsia="宋体" w:cs="宋体"/>
        </w:rPr>
        <w:t>6.技术资料的提供范围与进度；</w:t>
      </w:r>
    </w:p>
    <w:p>
      <w:pPr>
        <w:pStyle w:val="9"/>
        <w:spacing w:line="360" w:lineRule="auto"/>
        <w:ind w:firstLine="480" w:firstLineChars="200"/>
        <w:rPr>
          <w:rFonts w:hint="eastAsia" w:ascii="宋体" w:hAnsi="宋体" w:eastAsia="宋体" w:cs="宋体"/>
        </w:rPr>
      </w:pPr>
      <w:r>
        <w:rPr>
          <w:rFonts w:hint="eastAsia" w:ascii="宋体" w:hAnsi="宋体" w:eastAsia="宋体" w:cs="宋体"/>
        </w:rPr>
        <w:t>7.详细的技术服务、验收方案；</w:t>
      </w:r>
    </w:p>
    <w:p>
      <w:pPr>
        <w:pStyle w:val="9"/>
        <w:spacing w:line="360" w:lineRule="auto"/>
        <w:ind w:firstLine="480" w:firstLineChars="200"/>
        <w:rPr>
          <w:rFonts w:hint="eastAsia" w:ascii="宋体" w:hAnsi="宋体" w:eastAsia="宋体" w:cs="宋体"/>
        </w:rPr>
      </w:pPr>
      <w:r>
        <w:rPr>
          <w:rFonts w:hint="eastAsia" w:ascii="宋体" w:hAnsi="宋体" w:eastAsia="宋体" w:cs="宋体"/>
        </w:rPr>
        <w:t>8.售后服务内容及响应措施；</w:t>
      </w:r>
    </w:p>
    <w:p>
      <w:pPr>
        <w:pStyle w:val="9"/>
        <w:spacing w:line="360" w:lineRule="auto"/>
        <w:ind w:firstLine="480" w:firstLineChars="200"/>
        <w:rPr>
          <w:rFonts w:hint="eastAsia" w:ascii="宋体" w:hAnsi="宋体" w:eastAsia="宋体" w:cs="宋体"/>
        </w:rPr>
      </w:pPr>
      <w:r>
        <w:rPr>
          <w:rFonts w:hint="eastAsia" w:ascii="宋体" w:hAnsi="宋体" w:eastAsia="宋体" w:cs="宋体"/>
        </w:rPr>
        <w:t>9.保证金交纳凭证复印件；</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10.运输方式；</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11.投标人2018年1月1日至今完整的已完工的业绩证明材料原件（详见附件九）；</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12.售后服务机构及技术服务队伍情况（注明办公地址、电话、工程师姓名和联系方式）；</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13.其它需要说明的内容。</w:t>
      </w:r>
    </w:p>
    <w:p>
      <w:pPr>
        <w:pStyle w:val="9"/>
        <w:spacing w:line="360" w:lineRule="auto"/>
        <w:ind w:firstLine="2800" w:firstLineChars="1000"/>
        <w:rPr>
          <w:rFonts w:hint="eastAsia" w:ascii="宋体" w:hAnsi="宋体" w:eastAsia="宋体" w:cs="宋体"/>
          <w:sz w:val="28"/>
          <w:szCs w:val="28"/>
        </w:rPr>
      </w:pPr>
      <w:bookmarkStart w:id="371" w:name="_Toc171496387"/>
      <w:r>
        <w:rPr>
          <w:rFonts w:hint="eastAsia" w:ascii="宋体" w:hAnsi="宋体" w:eastAsia="宋体" w:cs="宋体"/>
          <w:sz w:val="28"/>
          <w:szCs w:val="28"/>
        </w:rPr>
        <w:t>资格证明文件</w:t>
      </w:r>
      <w:bookmarkEnd w:id="371"/>
    </w:p>
    <w:p>
      <w:pPr>
        <w:spacing w:line="360" w:lineRule="auto"/>
        <w:ind w:left="2" w:leftChars="1" w:firstLine="480" w:firstLineChars="200"/>
        <w:rPr>
          <w:rFonts w:hint="eastAsia" w:ascii="宋体" w:hAnsi="宋体" w:eastAsia="宋体" w:cs="宋体"/>
          <w:kern w:val="0"/>
          <w:sz w:val="24"/>
          <w:szCs w:val="24"/>
        </w:rPr>
      </w:pPr>
    </w:p>
    <w:p>
      <w:pPr>
        <w:spacing w:line="360" w:lineRule="auto"/>
        <w:ind w:left="2" w:leftChars="1"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1.企业营业执照副本</w:t>
      </w:r>
      <w:r>
        <w:rPr>
          <w:rFonts w:hint="eastAsia" w:ascii="宋体" w:hAnsi="宋体" w:eastAsia="宋体" w:cs="宋体"/>
          <w:b/>
          <w:kern w:val="0"/>
          <w:sz w:val="24"/>
          <w:szCs w:val="24"/>
        </w:rPr>
        <w:t>复印件</w:t>
      </w:r>
      <w:r>
        <w:rPr>
          <w:rFonts w:hint="eastAsia" w:ascii="宋体" w:hAnsi="宋体" w:eastAsia="宋体" w:cs="宋体"/>
          <w:kern w:val="0"/>
          <w:sz w:val="24"/>
          <w:szCs w:val="24"/>
        </w:rPr>
        <w:t>、税务登记证</w:t>
      </w:r>
      <w:r>
        <w:rPr>
          <w:rFonts w:hint="eastAsia" w:ascii="宋体" w:hAnsi="宋体" w:eastAsia="宋体" w:cs="宋体"/>
          <w:b/>
          <w:kern w:val="0"/>
          <w:sz w:val="24"/>
          <w:szCs w:val="24"/>
        </w:rPr>
        <w:t>复印件</w:t>
      </w:r>
      <w:r>
        <w:rPr>
          <w:rFonts w:hint="eastAsia" w:ascii="宋体" w:hAnsi="宋体" w:eastAsia="宋体" w:cs="宋体"/>
          <w:kern w:val="0"/>
          <w:sz w:val="24"/>
          <w:szCs w:val="24"/>
        </w:rPr>
        <w:t>（已办理三证合一的企业，仅需提供营业执照</w:t>
      </w:r>
      <w:r>
        <w:rPr>
          <w:rFonts w:hint="eastAsia" w:ascii="宋体" w:hAnsi="宋体" w:eastAsia="宋体" w:cs="宋体"/>
          <w:b/>
          <w:kern w:val="0"/>
          <w:sz w:val="24"/>
          <w:szCs w:val="24"/>
        </w:rPr>
        <w:t>复印件</w:t>
      </w:r>
      <w:r>
        <w:rPr>
          <w:rFonts w:hint="eastAsia" w:ascii="宋体" w:hAnsi="宋体" w:eastAsia="宋体" w:cs="宋体"/>
          <w:kern w:val="0"/>
          <w:sz w:val="24"/>
          <w:szCs w:val="24"/>
        </w:rPr>
        <w:t>）；</w:t>
      </w:r>
    </w:p>
    <w:p>
      <w:pPr>
        <w:spacing w:line="360" w:lineRule="auto"/>
        <w:ind w:left="2" w:leftChars="1"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2.针对此次采购活动的法人代表授权书</w:t>
      </w:r>
      <w:r>
        <w:rPr>
          <w:rFonts w:hint="eastAsia" w:ascii="宋体" w:hAnsi="宋体" w:eastAsia="宋体" w:cs="宋体"/>
          <w:b/>
          <w:kern w:val="0"/>
          <w:sz w:val="24"/>
          <w:szCs w:val="24"/>
        </w:rPr>
        <w:t>原件</w:t>
      </w:r>
      <w:r>
        <w:rPr>
          <w:rFonts w:hint="eastAsia" w:ascii="宋体" w:hAnsi="宋体" w:eastAsia="宋体" w:cs="宋体"/>
          <w:kern w:val="0"/>
          <w:sz w:val="24"/>
          <w:szCs w:val="24"/>
        </w:rPr>
        <w:t>和授权代表身份证明（身份证）</w:t>
      </w:r>
      <w:r>
        <w:rPr>
          <w:rFonts w:hint="eastAsia" w:ascii="宋体" w:hAnsi="宋体" w:eastAsia="宋体" w:cs="宋体"/>
          <w:b/>
          <w:kern w:val="0"/>
          <w:sz w:val="24"/>
          <w:szCs w:val="24"/>
        </w:rPr>
        <w:t>原件</w:t>
      </w:r>
      <w:r>
        <w:rPr>
          <w:rFonts w:hint="eastAsia" w:ascii="宋体" w:hAnsi="宋体" w:eastAsia="宋体" w:cs="宋体"/>
          <w:kern w:val="0"/>
          <w:sz w:val="24"/>
          <w:szCs w:val="24"/>
        </w:rPr>
        <w:t>（其它证件无效）；</w:t>
      </w:r>
    </w:p>
    <w:p>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特别注意：</w:t>
      </w:r>
    </w:p>
    <w:p>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1、以上证件或材料的有效期限；</w:t>
      </w:r>
    </w:p>
    <w:p>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2、投标人所提供材料的复印件、传真件、扫描件、影印件或彩印件不能视为以上资格证明文件中要求的原件。资格证明文件中要求的原件是指原始文件。</w:t>
      </w:r>
    </w:p>
    <w:p>
      <w:pPr>
        <w:pStyle w:val="9"/>
        <w:spacing w:line="360" w:lineRule="auto"/>
        <w:jc w:val="both"/>
        <w:rPr>
          <w:rFonts w:hint="eastAsia" w:ascii="宋体" w:hAnsi="宋体" w:eastAsia="宋体" w:cs="宋体"/>
          <w:bCs/>
        </w:rPr>
      </w:pPr>
    </w:p>
    <w:p>
      <w:pPr>
        <w:pStyle w:val="9"/>
        <w:spacing w:line="360" w:lineRule="auto"/>
        <w:jc w:val="center"/>
        <w:rPr>
          <w:rFonts w:hint="eastAsia" w:ascii="宋体" w:hAnsi="宋体" w:eastAsia="宋体" w:cs="宋体"/>
          <w:bCs/>
        </w:rPr>
      </w:pPr>
      <w:r>
        <w:rPr>
          <w:rFonts w:hint="eastAsia" w:ascii="宋体" w:hAnsi="宋体" w:eastAsia="宋体" w:cs="宋体"/>
          <w:bCs/>
        </w:rPr>
        <w:t>须知</w:t>
      </w:r>
    </w:p>
    <w:p>
      <w:pPr>
        <w:pStyle w:val="9"/>
        <w:spacing w:line="360" w:lineRule="auto"/>
        <w:ind w:firstLine="480" w:firstLineChars="200"/>
        <w:jc w:val="left"/>
        <w:rPr>
          <w:rFonts w:hint="eastAsia" w:ascii="宋体" w:hAnsi="宋体" w:eastAsia="宋体" w:cs="宋体"/>
          <w:bCs/>
        </w:rPr>
      </w:pPr>
      <w:r>
        <w:rPr>
          <w:rFonts w:hint="eastAsia" w:ascii="宋体" w:hAnsi="宋体" w:eastAsia="宋体" w:cs="宋体"/>
          <w:bCs/>
        </w:rPr>
        <w:t>1.1 对所附表格中要求的资料和询问应做出肯定的回答。</w:t>
      </w:r>
    </w:p>
    <w:p>
      <w:pPr>
        <w:pStyle w:val="9"/>
        <w:spacing w:line="360" w:lineRule="auto"/>
        <w:ind w:firstLine="480" w:firstLineChars="200"/>
        <w:jc w:val="left"/>
        <w:rPr>
          <w:rFonts w:hint="eastAsia" w:ascii="宋体" w:hAnsi="宋体" w:eastAsia="宋体" w:cs="宋体"/>
          <w:bCs/>
        </w:rPr>
      </w:pPr>
      <w:r>
        <w:rPr>
          <w:rFonts w:hint="eastAsia" w:ascii="宋体" w:hAnsi="宋体" w:eastAsia="宋体" w:cs="宋体"/>
          <w:bCs/>
        </w:rPr>
        <w:t>1.2资格文件的签字人应保证他所做的声明及对一切问题的回答的真实性和准确性。</w:t>
      </w:r>
    </w:p>
    <w:p>
      <w:pPr>
        <w:pStyle w:val="9"/>
        <w:spacing w:line="360" w:lineRule="auto"/>
        <w:ind w:firstLine="480" w:firstLineChars="200"/>
        <w:jc w:val="left"/>
        <w:rPr>
          <w:rFonts w:hint="eastAsia" w:ascii="宋体" w:hAnsi="宋体" w:eastAsia="宋体" w:cs="宋体"/>
          <w:bCs/>
        </w:rPr>
      </w:pPr>
      <w:r>
        <w:rPr>
          <w:rFonts w:hint="eastAsia" w:ascii="宋体" w:hAnsi="宋体" w:eastAsia="宋体" w:cs="宋体"/>
          <w:bCs/>
        </w:rPr>
        <w:t>1.3 提供的资格文件将被据此进行评价和判断，确定投标人的资格和履约能力。</w:t>
      </w:r>
    </w:p>
    <w:sectPr>
      <w:headerReference r:id="rId4" w:type="first"/>
      <w:headerReference r:id="rId3" w:type="default"/>
      <w:footerReference r:id="rId5" w:type="default"/>
      <w:pgSz w:w="11906" w:h="16838"/>
      <w:pgMar w:top="879" w:right="1134" w:bottom="879" w:left="1134" w:header="850"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9BBB59" w:sz="24" w:space="5"/>
      </w:pBdr>
      <w:jc w:val="right"/>
      <w:rPr>
        <w:i/>
        <w:iCs/>
        <w:color w:val="7F7F7F"/>
      </w:rPr>
    </w:pPr>
    <w:r>
      <w:rPr>
        <w:rFonts w:hint="eastAsia" w:ascii="方正姚体" w:eastAsia="方正姚体"/>
        <w:iCs/>
        <w:color w:val="262626"/>
        <w:sz w:val="21"/>
        <w:szCs w:val="21"/>
      </w:rPr>
      <w:t xml:space="preserve">                  </w:t>
    </w:r>
    <w:r>
      <w:rPr>
        <w:rFonts w:hint="eastAsia" w:ascii="方正姚体" w:eastAsia="方正姚体"/>
        <w:iCs/>
        <w:color w:val="262626"/>
        <w:sz w:val="21"/>
        <w:szCs w:val="21"/>
        <w:lang w:val="zh-CN"/>
      </w:rPr>
      <w:t xml:space="preserve">    </w:t>
    </w:r>
    <w:r>
      <w:rPr>
        <w:rFonts w:hint="eastAsia" w:ascii="方正姚体" w:eastAsia="方正姚体"/>
        <w:iCs/>
        <w:color w:val="7F7F7F"/>
        <w:sz w:val="21"/>
        <w:szCs w:val="21"/>
        <w:lang w:val="zh-CN"/>
      </w:rPr>
      <w:t xml:space="preserve"> </w:t>
    </w:r>
    <w:r>
      <w:rPr>
        <w:rFonts w:ascii="方正姚体" w:eastAsia="方正姚体"/>
        <w:iCs/>
        <w:color w:val="000000"/>
        <w:sz w:val="21"/>
        <w:szCs w:val="21"/>
      </w:rPr>
      <w:fldChar w:fldCharType="begin"/>
    </w:r>
    <w:r>
      <w:rPr>
        <w:rFonts w:ascii="方正姚体" w:eastAsia="方正姚体"/>
        <w:iCs/>
        <w:color w:val="000000"/>
        <w:sz w:val="21"/>
        <w:szCs w:val="21"/>
      </w:rPr>
      <w:instrText xml:space="preserve">PAGE</w:instrText>
    </w:r>
    <w:r>
      <w:rPr>
        <w:rFonts w:ascii="方正姚体" w:eastAsia="方正姚体"/>
        <w:iCs/>
        <w:color w:val="000000"/>
        <w:sz w:val="21"/>
        <w:szCs w:val="21"/>
      </w:rPr>
      <w:fldChar w:fldCharType="separate"/>
    </w:r>
    <w:r>
      <w:rPr>
        <w:rFonts w:ascii="方正姚体" w:eastAsia="方正姚体"/>
        <w:iCs/>
        <w:color w:val="000000"/>
        <w:sz w:val="21"/>
        <w:szCs w:val="21"/>
      </w:rPr>
      <w:t>6</w:t>
    </w:r>
    <w:r>
      <w:rPr>
        <w:rFonts w:ascii="方正姚体" w:eastAsia="方正姚体"/>
        <w:iCs/>
        <w:color w:val="000000"/>
        <w:sz w:val="21"/>
        <w:szCs w:val="21"/>
        <w:lang w:val="zh-CN"/>
      </w:rPr>
      <w:fldChar w:fldCharType="end"/>
    </w:r>
    <w:r>
      <w:rPr>
        <w:rFonts w:ascii="方正姚体" w:eastAsia="方正姚体"/>
        <w:iCs/>
        <w:color w:val="000000"/>
        <w:sz w:val="21"/>
        <w:szCs w:val="21"/>
        <w:lang w:val="zh-CN"/>
      </w:rPr>
      <w:t>/</w:t>
    </w:r>
    <w:r>
      <w:rPr>
        <w:rFonts w:ascii="方正姚体" w:eastAsia="方正姚体"/>
        <w:iCs/>
        <w:color w:val="000000"/>
        <w:sz w:val="21"/>
        <w:szCs w:val="21"/>
      </w:rPr>
      <w:fldChar w:fldCharType="begin"/>
    </w:r>
    <w:r>
      <w:rPr>
        <w:rFonts w:ascii="方正姚体" w:eastAsia="方正姚体"/>
        <w:iCs/>
        <w:color w:val="000000"/>
        <w:sz w:val="21"/>
        <w:szCs w:val="21"/>
      </w:rPr>
      <w:instrText xml:space="preserve">NUMPAGES</w:instrText>
    </w:r>
    <w:r>
      <w:rPr>
        <w:rFonts w:ascii="方正姚体" w:eastAsia="方正姚体"/>
        <w:iCs/>
        <w:color w:val="000000"/>
        <w:sz w:val="21"/>
        <w:szCs w:val="21"/>
      </w:rPr>
      <w:fldChar w:fldCharType="separate"/>
    </w:r>
    <w:r>
      <w:rPr>
        <w:rFonts w:ascii="方正姚体" w:eastAsia="方正姚体"/>
        <w:iCs/>
        <w:color w:val="000000"/>
        <w:sz w:val="21"/>
        <w:szCs w:val="21"/>
      </w:rPr>
      <w:t>33</w:t>
    </w:r>
    <w:r>
      <w:rPr>
        <w:rFonts w:ascii="方正姚体" w:eastAsia="方正姚体"/>
        <w:iCs/>
        <w:color w:val="000000"/>
        <w:sz w:val="21"/>
        <w:szCs w:val="21"/>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6BE87"/>
    <w:multiLevelType w:val="singleLevel"/>
    <w:tmpl w:val="F336BE87"/>
    <w:lvl w:ilvl="0" w:tentative="0">
      <w:start w:val="1"/>
      <w:numFmt w:val="decimal"/>
      <w:suff w:val="nothing"/>
      <w:lvlText w:val="%1、"/>
      <w:lvlJc w:val="left"/>
    </w:lvl>
  </w:abstractNum>
  <w:abstractNum w:abstractNumId="1">
    <w:nsid w:val="5CC104FF"/>
    <w:multiLevelType w:val="singleLevel"/>
    <w:tmpl w:val="5CC104F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DVlNDQyYTdiNTczNjk2N2NiMDQ4ODYwNmUwNDEifQ=="/>
  </w:docVars>
  <w:rsids>
    <w:rsidRoot w:val="00D07615"/>
    <w:rsid w:val="00116A4B"/>
    <w:rsid w:val="001216E3"/>
    <w:rsid w:val="004B3BCD"/>
    <w:rsid w:val="00514D45"/>
    <w:rsid w:val="005A33E7"/>
    <w:rsid w:val="0098451C"/>
    <w:rsid w:val="00C47148"/>
    <w:rsid w:val="00D07615"/>
    <w:rsid w:val="00EE7C6E"/>
    <w:rsid w:val="00F631AB"/>
    <w:rsid w:val="033C2BF5"/>
    <w:rsid w:val="038031A7"/>
    <w:rsid w:val="05505C9E"/>
    <w:rsid w:val="05574BF2"/>
    <w:rsid w:val="06983F58"/>
    <w:rsid w:val="074C7121"/>
    <w:rsid w:val="092357A3"/>
    <w:rsid w:val="094624AA"/>
    <w:rsid w:val="09655451"/>
    <w:rsid w:val="0AF37843"/>
    <w:rsid w:val="0BFA6279"/>
    <w:rsid w:val="0F9A4F2B"/>
    <w:rsid w:val="11E203D6"/>
    <w:rsid w:val="12B97A0D"/>
    <w:rsid w:val="12D5671F"/>
    <w:rsid w:val="142D4E9C"/>
    <w:rsid w:val="146975C2"/>
    <w:rsid w:val="15894EAE"/>
    <w:rsid w:val="160B3D57"/>
    <w:rsid w:val="161661EF"/>
    <w:rsid w:val="16D86A19"/>
    <w:rsid w:val="189A01ED"/>
    <w:rsid w:val="18CB1455"/>
    <w:rsid w:val="1AF55D2C"/>
    <w:rsid w:val="1B2342D8"/>
    <w:rsid w:val="1C1F0C62"/>
    <w:rsid w:val="1D1468DC"/>
    <w:rsid w:val="1E5F754D"/>
    <w:rsid w:val="1EBD655C"/>
    <w:rsid w:val="237D2A16"/>
    <w:rsid w:val="24455A4B"/>
    <w:rsid w:val="25A230DE"/>
    <w:rsid w:val="29027946"/>
    <w:rsid w:val="2CE82ED1"/>
    <w:rsid w:val="2D502CB6"/>
    <w:rsid w:val="2DE96BD2"/>
    <w:rsid w:val="306C1690"/>
    <w:rsid w:val="315B5836"/>
    <w:rsid w:val="31B36AD3"/>
    <w:rsid w:val="32513FAD"/>
    <w:rsid w:val="35867542"/>
    <w:rsid w:val="37E25858"/>
    <w:rsid w:val="39011412"/>
    <w:rsid w:val="39B8407C"/>
    <w:rsid w:val="3AF720BF"/>
    <w:rsid w:val="3BD103A0"/>
    <w:rsid w:val="3BF64F6F"/>
    <w:rsid w:val="3C715CF0"/>
    <w:rsid w:val="3F86126B"/>
    <w:rsid w:val="40E81D6D"/>
    <w:rsid w:val="4242005F"/>
    <w:rsid w:val="42B623FA"/>
    <w:rsid w:val="42F67BD1"/>
    <w:rsid w:val="46015206"/>
    <w:rsid w:val="47086643"/>
    <w:rsid w:val="47E45220"/>
    <w:rsid w:val="4A9106FD"/>
    <w:rsid w:val="4C2A7845"/>
    <w:rsid w:val="4DA16EA9"/>
    <w:rsid w:val="51166666"/>
    <w:rsid w:val="5152406D"/>
    <w:rsid w:val="52B95F4B"/>
    <w:rsid w:val="533C37D8"/>
    <w:rsid w:val="55451B8B"/>
    <w:rsid w:val="560664B4"/>
    <w:rsid w:val="56563D47"/>
    <w:rsid w:val="5927286D"/>
    <w:rsid w:val="5B9D1961"/>
    <w:rsid w:val="5BF840A9"/>
    <w:rsid w:val="5CAE5598"/>
    <w:rsid w:val="5D6860BE"/>
    <w:rsid w:val="5F014055"/>
    <w:rsid w:val="64794215"/>
    <w:rsid w:val="668A4911"/>
    <w:rsid w:val="6691134A"/>
    <w:rsid w:val="66EF63D4"/>
    <w:rsid w:val="68910A34"/>
    <w:rsid w:val="68AF64C7"/>
    <w:rsid w:val="69BE4554"/>
    <w:rsid w:val="6A142A40"/>
    <w:rsid w:val="6AA07CE6"/>
    <w:rsid w:val="6B702492"/>
    <w:rsid w:val="6BA10A57"/>
    <w:rsid w:val="6C671890"/>
    <w:rsid w:val="6D5932CA"/>
    <w:rsid w:val="6E2F3C06"/>
    <w:rsid w:val="6FFF7BC8"/>
    <w:rsid w:val="71F152CF"/>
    <w:rsid w:val="72436941"/>
    <w:rsid w:val="729F57F1"/>
    <w:rsid w:val="735348FF"/>
    <w:rsid w:val="771C0861"/>
    <w:rsid w:val="777B15D5"/>
    <w:rsid w:val="777B72BA"/>
    <w:rsid w:val="7AF404FC"/>
    <w:rsid w:val="7D764424"/>
    <w:rsid w:val="7E635AB6"/>
    <w:rsid w:val="7EEE482C"/>
    <w:rsid w:val="7FCF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930"/>
      </w:tabs>
      <w:ind w:firstLine="420" w:firstLineChars="200"/>
    </w:pPr>
    <w:rPr>
      <w:szCs w:val="24"/>
    </w:rPr>
  </w:style>
  <w:style w:type="paragraph" w:styleId="3">
    <w:name w:val="Body Text Indent"/>
    <w:basedOn w:val="1"/>
    <w:next w:val="4"/>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4">
    <w:name w:val="envelope return"/>
    <w:basedOn w:val="1"/>
    <w:qFormat/>
    <w:uiPriority w:val="0"/>
    <w:pPr>
      <w:snapToGrid w:val="0"/>
    </w:pPr>
    <w:rPr>
      <w:rFonts w:ascii="Arial" w:hAnsi="Arial"/>
    </w:rPr>
  </w:style>
  <w:style w:type="paragraph" w:styleId="7">
    <w:name w:val="toa heading"/>
    <w:basedOn w:val="1"/>
    <w:next w:val="1"/>
    <w:qFormat/>
    <w:uiPriority w:val="0"/>
    <w:pPr>
      <w:spacing w:before="120"/>
    </w:pPr>
    <w:rPr>
      <w:rFonts w:ascii="Arial" w:hAnsi="Arial" w:cs="Arial"/>
      <w:sz w:val="24"/>
      <w:szCs w:val="24"/>
    </w:r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7"/>
    <w:next w:val="1"/>
    <w:qFormat/>
    <w:uiPriority w:val="39"/>
    <w:pPr>
      <w:tabs>
        <w:tab w:val="right" w:leader="dot" w:pos="9060"/>
      </w:tabs>
      <w:spacing w:after="120" w:line="320" w:lineRule="exact"/>
      <w:jc w:val="center"/>
    </w:pPr>
    <w:rPr>
      <w:rFonts w:ascii="方正小标宋简体" w:hAnsi="Times New Roman" w:eastAsia="方正小标宋简体" w:cs="Times New Roman"/>
      <w:bCs/>
      <w:caps/>
      <w:sz w:val="32"/>
      <w:szCs w:val="32"/>
    </w:rPr>
  </w:style>
  <w:style w:type="paragraph" w:customStyle="1" w:styleId="15">
    <w:name w:val="首行缩进"/>
    <w:basedOn w:val="1"/>
    <w:qFormat/>
    <w:uiPriority w:val="99"/>
    <w:pPr>
      <w:spacing w:line="360" w:lineRule="auto"/>
      <w:ind w:firstLine="480" w:firstLineChars="200"/>
    </w:pPr>
    <w:rPr>
      <w:rFonts w:ascii="宋体" w:hAnsi="宋体" w:cs="宋体"/>
      <w:kern w:val="0"/>
    </w:rPr>
  </w:style>
  <w:style w:type="paragraph" w:customStyle="1" w:styleId="16">
    <w:name w:val="列出段落1"/>
    <w:basedOn w:val="1"/>
    <w:qFormat/>
    <w:uiPriority w:val="0"/>
    <w:pPr>
      <w:ind w:firstLine="420" w:firstLineChars="200"/>
    </w:pPr>
    <w:rPr>
      <w:szCs w:val="24"/>
    </w:rPr>
  </w:style>
  <w:style w:type="paragraph" w:customStyle="1" w:styleId="17">
    <w:name w:val="2级标题"/>
    <w:basedOn w:val="1"/>
    <w:next w:val="1"/>
    <w:qFormat/>
    <w:uiPriority w:val="0"/>
    <w:pPr>
      <w:adjustRightInd w:val="0"/>
      <w:snapToGrid w:val="0"/>
      <w:spacing w:beforeLines="100" w:line="360" w:lineRule="auto"/>
      <w:jc w:val="left"/>
      <w:outlineLvl w:val="1"/>
    </w:pPr>
    <w:rPr>
      <w:rFonts w:ascii="Calibri" w:hAnsi="Calibri" w:eastAsia="黑体"/>
      <w:b/>
      <w:sz w:val="30"/>
      <w:szCs w:val="30"/>
    </w:rPr>
  </w:style>
  <w:style w:type="character" w:customStyle="1" w:styleId="18">
    <w:name w:val="font01"/>
    <w:basedOn w:val="14"/>
    <w:qFormat/>
    <w:uiPriority w:val="0"/>
    <w:rPr>
      <w:rFonts w:hint="eastAsia" w:ascii="宋体" w:hAnsi="宋体" w:eastAsia="宋体" w:cs="宋体"/>
      <w:color w:val="000000"/>
      <w:sz w:val="22"/>
      <w:szCs w:val="22"/>
      <w:u w:val="none"/>
    </w:rPr>
  </w:style>
  <w:style w:type="character" w:customStyle="1" w:styleId="19">
    <w:name w:val="font31"/>
    <w:basedOn w:val="14"/>
    <w:qFormat/>
    <w:uiPriority w:val="0"/>
    <w:rPr>
      <w:rFonts w:hint="eastAsia" w:ascii="宋体" w:hAnsi="宋体" w:eastAsia="宋体" w:cs="宋体"/>
      <w:color w:val="000000"/>
      <w:sz w:val="22"/>
      <w:szCs w:val="22"/>
      <w:u w:val="none"/>
    </w:rPr>
  </w:style>
  <w:style w:type="character" w:customStyle="1" w:styleId="20">
    <w:name w:val="font21"/>
    <w:basedOn w:val="14"/>
    <w:qFormat/>
    <w:uiPriority w:val="0"/>
    <w:rPr>
      <w:rFonts w:hint="eastAsia" w:ascii="宋体" w:hAnsi="宋体" w:eastAsia="宋体" w:cs="宋体"/>
      <w:color w:val="FF0000"/>
      <w:sz w:val="22"/>
      <w:szCs w:val="22"/>
      <w:u w:val="none"/>
    </w:rPr>
  </w:style>
  <w:style w:type="character" w:customStyle="1" w:styleId="21">
    <w:name w:val="font51"/>
    <w:basedOn w:val="14"/>
    <w:qFormat/>
    <w:uiPriority w:val="0"/>
    <w:rPr>
      <w:rFonts w:hint="default" w:ascii="Tahoma" w:hAnsi="Tahoma" w:eastAsia="Tahoma" w:cs="Tahoma"/>
      <w:color w:val="FF0000"/>
      <w:sz w:val="22"/>
      <w:szCs w:val="22"/>
      <w:u w:val="none"/>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13049</Words>
  <Characters>14523</Characters>
  <Lines>135</Lines>
  <Paragraphs>38</Paragraphs>
  <TotalTime>0</TotalTime>
  <ScaleCrop>false</ScaleCrop>
  <LinksUpToDate>false</LinksUpToDate>
  <CharactersWithSpaces>15602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2021-08-23T02:21:00Z</dcterms:created>
  <dc:creator>Administrator</dc:creator>
  <cp:lastModifiedBy>海海</cp:lastModifiedBy>
  <dcterms:modified xsi:type="dcterms:W3CDTF">2022-11-30T05:55:13Z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C2F7A1D3BDC24534ACBCC3EFCFFA05C3</vt:lpwstr>
  </property>
</Properties>
</file>