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pacing w:val="10"/>
        </w:rPr>
      </w:pPr>
    </w:p>
    <w:p>
      <w:pPr>
        <w:spacing w:line="360" w:lineRule="auto"/>
        <w:ind w:left="-359" w:leftChars="-171"/>
        <w:jc w:val="center"/>
        <w:rPr>
          <w:rFonts w:hint="eastAsia" w:eastAsia="黑体"/>
          <w:b/>
          <w:spacing w:val="10"/>
          <w:sz w:val="32"/>
          <w:lang w:val="en-US" w:eastAsia="zh-CN"/>
        </w:rPr>
      </w:pPr>
      <w:r>
        <w:rPr>
          <w:rFonts w:hint="eastAsia" w:ascii="黑体" w:hAnsi="宋体" w:eastAsia="黑体"/>
          <w:b/>
          <w:sz w:val="52"/>
          <w:szCs w:val="52"/>
        </w:rPr>
        <w:t xml:space="preserve">   </w:t>
      </w:r>
      <w:r>
        <w:rPr>
          <w:rFonts w:hint="eastAsia" w:ascii="黑体" w:hAnsi="宋体" w:eastAsia="黑体"/>
          <w:bCs/>
          <w:sz w:val="40"/>
          <w:szCs w:val="40"/>
        </w:rPr>
        <w:t>招标</w:t>
      </w:r>
      <w:r>
        <w:rPr>
          <w:rFonts w:hint="eastAsia" w:ascii="黑体" w:hAnsi="宋体" w:eastAsia="黑体"/>
          <w:bCs/>
          <w:sz w:val="40"/>
          <w:szCs w:val="40"/>
          <w:lang w:eastAsia="zh-CN"/>
        </w:rPr>
        <w:t>邀请函</w:t>
      </w:r>
    </w:p>
    <w:p>
      <w:pPr>
        <w:rPr>
          <w:rFonts w:ascii="仿宋" w:hAnsi="仿宋" w:eastAsia="仿宋" w:cs="仿宋"/>
          <w:spacing w:val="10"/>
          <w:sz w:val="32"/>
        </w:rPr>
      </w:pPr>
      <w:r>
        <w:rPr>
          <w:rFonts w:hint="eastAsia"/>
          <w:spacing w:val="10"/>
          <w:sz w:val="32"/>
        </w:rPr>
        <w:t xml:space="preserve">   </w:t>
      </w:r>
      <w:r>
        <w:rPr>
          <w:rFonts w:hint="eastAsia" w:ascii="仿宋" w:hAnsi="仿宋" w:eastAsia="仿宋" w:cs="仿宋"/>
          <w:spacing w:val="10"/>
          <w:sz w:val="32"/>
        </w:rPr>
        <w:t xml:space="preserve">                </w:t>
      </w:r>
    </w:p>
    <w:p>
      <w:pPr>
        <w:spacing w:line="360" w:lineRule="auto"/>
        <w:ind w:firstLine="1360" w:firstLineChars="400"/>
        <w:jc w:val="left"/>
        <w:rPr>
          <w:rFonts w:ascii="仿宋" w:hAnsi="仿宋" w:eastAsia="仿宋" w:cs="仿宋"/>
          <w:b/>
          <w:sz w:val="32"/>
          <w:szCs w:val="32"/>
          <w:u w:val="single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项目名称：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>金宝电子工业园</w:t>
      </w:r>
      <w:r>
        <w:rPr>
          <w:rFonts w:ascii="仿宋" w:hAnsi="仿宋" w:eastAsia="仿宋" w:cs="仿宋"/>
          <w:b/>
          <w:sz w:val="32"/>
          <w:szCs w:val="32"/>
          <w:u w:val="single"/>
        </w:rPr>
        <w:t>覆铜板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>FR4监控</w:t>
      </w:r>
    </w:p>
    <w:p>
      <w:pPr>
        <w:spacing w:line="360" w:lineRule="auto"/>
        <w:ind w:firstLine="1530" w:firstLineChars="450"/>
        <w:jc w:val="left"/>
        <w:rPr>
          <w:rFonts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招标单位：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山东金宝电子股份有限公司  </w:t>
      </w:r>
      <w:r>
        <w:rPr>
          <w:rFonts w:hint="eastAsia" w:ascii="仿宋" w:hAnsi="仿宋" w:eastAsia="仿宋" w:cs="仿宋"/>
          <w:spacing w:val="10"/>
          <w:sz w:val="32"/>
          <w:szCs w:val="32"/>
        </w:rPr>
        <w:t xml:space="preserve">          </w:t>
      </w:r>
    </w:p>
    <w:p>
      <w:pPr>
        <w:spacing w:line="120" w:lineRule="auto"/>
        <w:ind w:right="70" w:firstLine="600" w:firstLineChars="200"/>
        <w:rPr>
          <w:rFonts w:ascii="仿宋" w:hAnsi="仿宋" w:eastAsia="仿宋" w:cs="仿宋"/>
          <w:bCs/>
          <w:sz w:val="30"/>
          <w:szCs w:val="30"/>
        </w:rPr>
      </w:pPr>
    </w:p>
    <w:p>
      <w:pPr>
        <w:spacing w:line="120" w:lineRule="auto"/>
        <w:ind w:right="70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山东金宝电子股份有限公司</w:t>
      </w:r>
      <w:r>
        <w:rPr>
          <w:rFonts w:hint="eastAsia" w:ascii="仿宋" w:hAnsi="仿宋" w:eastAsia="仿宋" w:cs="仿宋"/>
          <w:sz w:val="30"/>
          <w:szCs w:val="30"/>
        </w:rPr>
        <w:t>就</w:t>
      </w:r>
      <w:r>
        <w:rPr>
          <w:rFonts w:hint="eastAsia" w:ascii="仿宋" w:hAnsi="仿宋" w:eastAsia="仿宋" w:cs="仿宋"/>
          <w:sz w:val="30"/>
          <w:szCs w:val="30"/>
          <w:u w:val="single"/>
        </w:rPr>
        <w:t>“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>工业园FR4监控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现进行招标采购，我公司本着公平、公正、公开的原则，真诚邀请具有相关资质及履约能力的供应商参加投标，具体事项如下：</w:t>
      </w:r>
    </w:p>
    <w:p>
      <w:pPr>
        <w:spacing w:line="120" w:lineRule="auto"/>
        <w:ind w:right="70" w:firstLine="602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一、招标人：</w:t>
      </w:r>
      <w:r>
        <w:rPr>
          <w:rFonts w:hint="eastAsia" w:ascii="仿宋" w:hAnsi="仿宋" w:eastAsia="仿宋" w:cs="仿宋"/>
          <w:bCs/>
          <w:sz w:val="30"/>
          <w:szCs w:val="30"/>
        </w:rPr>
        <w:t>山东金宝电子股份有限公司</w:t>
      </w:r>
    </w:p>
    <w:p>
      <w:pPr>
        <w:spacing w:line="120" w:lineRule="auto"/>
        <w:ind w:right="70"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二、项目名称：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>金宝电子工业园F</w:t>
      </w:r>
      <w:r>
        <w:rPr>
          <w:rFonts w:ascii="仿宋" w:hAnsi="仿宋" w:eastAsia="仿宋" w:cs="仿宋"/>
          <w:b/>
          <w:sz w:val="32"/>
          <w:szCs w:val="32"/>
          <w:u w:val="single"/>
        </w:rPr>
        <w:t>R4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>监控</w:t>
      </w:r>
      <w:r>
        <w:rPr>
          <w:rFonts w:hint="eastAsia" w:ascii="仿宋" w:hAnsi="仿宋" w:eastAsia="仿宋" w:cs="仿宋"/>
          <w:spacing w:val="10"/>
          <w:sz w:val="32"/>
          <w:szCs w:val="32"/>
        </w:rPr>
        <w:t xml:space="preserve"> </w:t>
      </w:r>
    </w:p>
    <w:p>
      <w:pPr>
        <w:spacing w:line="120" w:lineRule="auto"/>
        <w:ind w:firstLine="602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三、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技术联系人：杨磊，15963596862</w:t>
      </w:r>
    </w:p>
    <w:p>
      <w:pPr>
        <w:spacing w:line="120" w:lineRule="auto"/>
        <w:ind w:right="70" w:firstLine="602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商务联系人：徐海峰，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15336385008</w:t>
      </w:r>
      <w:bookmarkStart w:id="0" w:name="_GoBack"/>
      <w:bookmarkEnd w:id="0"/>
    </w:p>
    <w:p>
      <w:pPr>
        <w:ind w:right="68"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五、招标内容：</w:t>
      </w:r>
    </w:p>
    <w:p>
      <w:pPr>
        <w:ind w:right="68" w:firstLine="615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ascii="仿宋" w:hAnsi="仿宋" w:eastAsia="仿宋" w:cs="仿宋"/>
          <w:b/>
          <w:bCs/>
          <w:sz w:val="30"/>
          <w:szCs w:val="30"/>
        </w:rPr>
        <w:t xml:space="preserve"> FR4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需</w:t>
      </w:r>
      <w:r>
        <w:rPr>
          <w:rFonts w:ascii="仿宋" w:hAnsi="仿宋" w:eastAsia="仿宋" w:cs="仿宋"/>
          <w:b/>
          <w:bCs/>
          <w:sz w:val="30"/>
          <w:szCs w:val="30"/>
        </w:rPr>
        <w:t>增加一路监控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。</w:t>
      </w:r>
      <w:r>
        <w:rPr>
          <w:rFonts w:ascii="仿宋" w:hAnsi="仿宋" w:eastAsia="仿宋" w:cs="仿宋"/>
          <w:b/>
          <w:bCs/>
          <w:sz w:val="30"/>
          <w:szCs w:val="30"/>
        </w:rPr>
        <w:t>所需配件为：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126"/>
        <w:gridCol w:w="1782"/>
        <w:gridCol w:w="2471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ind w:right="68" w:firstLine="281" w:firstLineChars="100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配件</w:t>
            </w:r>
          </w:p>
        </w:tc>
        <w:tc>
          <w:tcPr>
            <w:tcW w:w="2126" w:type="dxa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规格</w:t>
            </w:r>
          </w:p>
        </w:tc>
        <w:tc>
          <w:tcPr>
            <w:tcW w:w="1782" w:type="dxa"/>
          </w:tcPr>
          <w:p>
            <w:pPr>
              <w:ind w:right="68" w:firstLine="422" w:firstLineChars="150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2471" w:type="dxa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44" w:type="dxa"/>
            <w:vMerge w:val="restart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备注</w:t>
            </w:r>
            <w:r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  <w:t>：</w:t>
            </w:r>
          </w:p>
          <w:p>
            <w:pPr>
              <w:spacing w:line="240" w:lineRule="auto"/>
              <w:ind w:right="68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各配件</w:t>
            </w:r>
            <w:r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  <w:t>保修期为1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  <w:t>，保修期内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配件</w:t>
            </w:r>
            <w:r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  <w:t>有任何问题必须上门维修。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ind w:right="68" w:firstLine="141" w:firstLineChars="50"/>
              <w:rPr>
                <w:rFonts w:hint="eastAsia" w:ascii="黑体" w:hAnsi="黑体" w:eastAsia="黑体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/>
                <w:bCs/>
                <w:kern w:val="0"/>
                <w:sz w:val="28"/>
                <w:szCs w:val="28"/>
              </w:rPr>
              <w:t>光缆</w:t>
            </w:r>
          </w:p>
        </w:tc>
        <w:tc>
          <w:tcPr>
            <w:tcW w:w="2126" w:type="dxa"/>
          </w:tcPr>
          <w:p>
            <w:pPr>
              <w:ind w:right="68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4芯</w:t>
            </w:r>
            <w:r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  <w:t>光缆</w:t>
            </w:r>
          </w:p>
        </w:tc>
        <w:tc>
          <w:tcPr>
            <w:tcW w:w="1782" w:type="dxa"/>
          </w:tcPr>
          <w:p>
            <w:pPr>
              <w:ind w:right="68" w:firstLine="562" w:firstLineChars="200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150米</w:t>
            </w:r>
          </w:p>
        </w:tc>
        <w:tc>
          <w:tcPr>
            <w:tcW w:w="2471" w:type="dxa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44" w:type="dxa"/>
            <w:vMerge w:val="continue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ind w:right="68" w:firstLine="141" w:firstLineChars="50"/>
              <w:rPr>
                <w:rFonts w:hint="eastAsia" w:ascii="黑体" w:hAnsi="黑体" w:eastAsia="黑体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/>
                <w:bCs/>
                <w:kern w:val="0"/>
                <w:sz w:val="28"/>
                <w:szCs w:val="28"/>
              </w:rPr>
              <w:t>光收发</w:t>
            </w:r>
          </w:p>
        </w:tc>
        <w:tc>
          <w:tcPr>
            <w:tcW w:w="2126" w:type="dxa"/>
          </w:tcPr>
          <w:p>
            <w:pPr>
              <w:ind w:right="68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  <w:t>T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p-link</w:t>
            </w:r>
            <w:r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  <w:t>千兆</w:t>
            </w:r>
          </w:p>
        </w:tc>
        <w:tc>
          <w:tcPr>
            <w:tcW w:w="1782" w:type="dxa"/>
          </w:tcPr>
          <w:p>
            <w:pPr>
              <w:ind w:right="68" w:firstLine="562" w:firstLineChars="200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1对</w:t>
            </w:r>
          </w:p>
        </w:tc>
        <w:tc>
          <w:tcPr>
            <w:tcW w:w="2471" w:type="dxa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44" w:type="dxa"/>
            <w:vMerge w:val="continue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ind w:right="68" w:firstLine="141" w:firstLineChars="50"/>
              <w:rPr>
                <w:rFonts w:ascii="黑体" w:hAnsi="黑体" w:eastAsia="黑体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/>
                <w:bCs/>
                <w:kern w:val="0"/>
                <w:sz w:val="28"/>
                <w:szCs w:val="28"/>
              </w:rPr>
              <w:t>硬盘</w:t>
            </w:r>
            <w:r>
              <w:rPr>
                <w:rFonts w:ascii="黑体" w:hAnsi="黑体" w:eastAsia="黑体" w:cs="仿宋"/>
                <w:b/>
                <w:bCs/>
                <w:kern w:val="0"/>
                <w:sz w:val="28"/>
                <w:szCs w:val="28"/>
              </w:rPr>
              <w:t>录像机</w:t>
            </w:r>
          </w:p>
        </w:tc>
        <w:tc>
          <w:tcPr>
            <w:tcW w:w="2126" w:type="dxa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  <w:t>DS-8864N-R8</w:t>
            </w:r>
          </w:p>
        </w:tc>
        <w:tc>
          <w:tcPr>
            <w:tcW w:w="1782" w:type="dxa"/>
          </w:tcPr>
          <w:p>
            <w:pPr>
              <w:ind w:right="68" w:firstLine="562" w:firstLineChars="200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1个</w:t>
            </w:r>
          </w:p>
        </w:tc>
        <w:tc>
          <w:tcPr>
            <w:tcW w:w="2471" w:type="dxa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44" w:type="dxa"/>
            <w:vMerge w:val="continue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413" w:type="dxa"/>
          </w:tcPr>
          <w:p>
            <w:pPr>
              <w:ind w:right="68" w:firstLine="141" w:firstLineChars="50"/>
              <w:rPr>
                <w:rFonts w:ascii="黑体" w:hAnsi="黑体" w:eastAsia="黑体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/>
                <w:bCs/>
                <w:kern w:val="0"/>
                <w:sz w:val="28"/>
                <w:szCs w:val="28"/>
              </w:rPr>
              <w:t>硬盘</w:t>
            </w:r>
          </w:p>
        </w:tc>
        <w:tc>
          <w:tcPr>
            <w:tcW w:w="2126" w:type="dxa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8</w:t>
            </w:r>
            <w:r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  <w:t>t希捷监控</w:t>
            </w:r>
          </w:p>
        </w:tc>
        <w:tc>
          <w:tcPr>
            <w:tcW w:w="1782" w:type="dxa"/>
          </w:tcPr>
          <w:p>
            <w:pPr>
              <w:ind w:right="68" w:firstLine="562" w:firstLineChars="200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2块</w:t>
            </w:r>
          </w:p>
        </w:tc>
        <w:tc>
          <w:tcPr>
            <w:tcW w:w="2471" w:type="dxa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44" w:type="dxa"/>
            <w:vMerge w:val="continue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</w:tbl>
    <w:p>
      <w:pPr>
        <w:spacing w:line="120" w:lineRule="auto"/>
        <w:ind w:right="7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备注</w:t>
      </w:r>
      <w:r>
        <w:rPr>
          <w:rFonts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安装费用</w:t>
      </w:r>
      <w:r>
        <w:rPr>
          <w:rFonts w:ascii="仿宋" w:hAnsi="仿宋" w:eastAsia="仿宋" w:cs="仿宋"/>
          <w:b/>
          <w:bCs/>
          <w:sz w:val="30"/>
          <w:szCs w:val="30"/>
        </w:rPr>
        <w:t>及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线管、</w:t>
      </w:r>
      <w:r>
        <w:rPr>
          <w:rFonts w:ascii="仿宋" w:hAnsi="仿宋" w:eastAsia="仿宋" w:cs="仿宋"/>
          <w:b/>
          <w:bCs/>
          <w:sz w:val="30"/>
          <w:szCs w:val="30"/>
        </w:rPr>
        <w:t>配电箱等配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件费用</w:t>
      </w:r>
      <w:r>
        <w:rPr>
          <w:rFonts w:ascii="仿宋" w:hAnsi="仿宋" w:eastAsia="仿宋" w:cs="仿宋"/>
          <w:b/>
          <w:bCs/>
          <w:sz w:val="30"/>
          <w:szCs w:val="30"/>
        </w:rPr>
        <w:t>均平摊于上述设备清单列表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中</w:t>
      </w:r>
      <w:r>
        <w:rPr>
          <w:rFonts w:ascii="仿宋" w:hAnsi="仿宋" w:eastAsia="仿宋" w:cs="仿宋"/>
          <w:b/>
          <w:bCs/>
          <w:sz w:val="30"/>
          <w:szCs w:val="30"/>
        </w:rPr>
        <w:t>，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无需</w:t>
      </w:r>
      <w:r>
        <w:rPr>
          <w:rFonts w:ascii="仿宋" w:hAnsi="仿宋" w:eastAsia="仿宋" w:cs="仿宋"/>
          <w:b/>
          <w:bCs/>
          <w:sz w:val="30"/>
          <w:szCs w:val="30"/>
        </w:rPr>
        <w:t>单独列出。</w:t>
      </w:r>
    </w:p>
    <w:p>
      <w:pPr>
        <w:ind w:right="68" w:firstLine="615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widowControl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 </w:t>
      </w:r>
    </w:p>
    <w:p>
      <w:pPr>
        <w:ind w:right="68"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烦请贵单位在收到《招标邀请函》后，于24小时内给予回复是否参与投标。一周内需到现场确认，投标价格需单价明确，不得出现辅材等模糊计价项目，结算以</w:t>
      </w:r>
      <w:r>
        <w:rPr>
          <w:rFonts w:ascii="仿宋" w:hAnsi="仿宋" w:eastAsia="仿宋" w:cs="仿宋"/>
          <w:b/>
          <w:bCs/>
          <w:sz w:val="30"/>
          <w:szCs w:val="30"/>
        </w:rPr>
        <w:t>中标价格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为准，</w:t>
      </w:r>
      <w:r>
        <w:rPr>
          <w:rFonts w:ascii="仿宋" w:hAnsi="仿宋" w:eastAsia="仿宋" w:cs="仿宋"/>
          <w:b/>
          <w:bCs/>
          <w:sz w:val="30"/>
          <w:szCs w:val="30"/>
        </w:rPr>
        <w:t>盈亏自负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，写清付款方式及税率</w:t>
      </w:r>
      <w:r>
        <w:rPr>
          <w:rFonts w:ascii="仿宋" w:hAnsi="仿宋" w:eastAsia="仿宋" w:cs="仿宋"/>
          <w:b/>
          <w:bCs/>
          <w:sz w:val="30"/>
          <w:szCs w:val="30"/>
        </w:rPr>
        <w:t>。</w:t>
      </w:r>
    </w:p>
    <w:p>
      <w:pPr>
        <w:ind w:right="68"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120" w:lineRule="auto"/>
        <w:ind w:right="70" w:firstLine="5421" w:firstLineChars="1800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山东金宝电子股份有限公司</w:t>
      </w:r>
    </w:p>
    <w:p>
      <w:pPr>
        <w:spacing w:line="120" w:lineRule="auto"/>
        <w:ind w:right="70" w:firstLine="6023" w:firstLineChars="20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ascii="仿宋" w:hAnsi="仿宋" w:eastAsia="仿宋" w:cs="仿宋"/>
          <w:b/>
          <w:bCs/>
          <w:sz w:val="30"/>
          <w:szCs w:val="30"/>
        </w:rPr>
        <w:t>2022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年 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02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 日</w:t>
      </w:r>
    </w:p>
    <w:p/>
    <w:sectPr>
      <w:pgSz w:w="11906" w:h="16838"/>
      <w:pgMar w:top="1134" w:right="1080" w:bottom="1134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3MDVlNDQyYTdiNTczNjk2N2NiMDQ4ODYwNmUwNDEifQ=="/>
  </w:docVars>
  <w:rsids>
    <w:rsidRoot w:val="00984FDE"/>
    <w:rsid w:val="001340B7"/>
    <w:rsid w:val="003E24B0"/>
    <w:rsid w:val="006E0363"/>
    <w:rsid w:val="007231D0"/>
    <w:rsid w:val="008F00AF"/>
    <w:rsid w:val="00922877"/>
    <w:rsid w:val="00984FDE"/>
    <w:rsid w:val="00A21C81"/>
    <w:rsid w:val="00D6576A"/>
    <w:rsid w:val="00D9769D"/>
    <w:rsid w:val="00FB57E7"/>
    <w:rsid w:val="052978A2"/>
    <w:rsid w:val="4616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412</Words>
  <Characters>458</Characters>
  <Lines>3</Lines>
  <Paragraphs>1</Paragraphs>
  <TotalTime>20</TotalTime>
  <ScaleCrop>false</ScaleCrop>
  <LinksUpToDate>false</LinksUpToDate>
  <CharactersWithSpaces>502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2022-08-02T01:28:00Z</dcterms:created>
  <dc:creator>Administrator</dc:creator>
  <cp:lastModifiedBy>海海</cp:lastModifiedBy>
  <dcterms:modified xsi:type="dcterms:W3CDTF">2022-08-03T02:20:02Z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16D16E5606664C7C8908209B9DD7C169</vt:lpwstr>
  </property>
</Properties>
</file>