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 xml:space="preserve">   招标文件</w:t>
      </w:r>
    </w:p>
    <w:p>
      <w:pPr>
        <w:ind w:firstLine="460"/>
        <w:jc w:val="center"/>
        <w:rPr>
          <w:spacing w:val="10"/>
          <w:sz w:val="28"/>
          <w:szCs w:val="28"/>
        </w:rPr>
      </w:pPr>
    </w:p>
    <w:p>
      <w:pPr>
        <w:ind w:firstLine="460"/>
        <w:jc w:val="center"/>
        <w:rPr>
          <w:spacing w:val="10"/>
          <w:sz w:val="28"/>
          <w:szCs w:val="28"/>
        </w:rPr>
      </w:pPr>
      <w:bookmarkStart w:id="0" w:name="_GoBack"/>
      <w:bookmarkEnd w:id="0"/>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left="2765" w:leftChars="600"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铜箔天府路厂（西区）溶铜自控系统升级改造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2022年 02月1</w:t>
      </w:r>
      <w:r>
        <w:rPr>
          <w:rFonts w:hint="eastAsia" w:ascii="仿宋" w:hAnsi="仿宋" w:eastAsia="仿宋" w:cs="仿宋"/>
          <w:spacing w:val="10"/>
          <w:sz w:val="28"/>
          <w:szCs w:val="28"/>
          <w:lang w:val="en-US" w:eastAsia="zh-CN"/>
        </w:rPr>
        <w:t>9</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溶铜自控系统升级改造</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溶铜自控系统升级改造</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技术投标时间：2022.02</w:t>
      </w:r>
      <w:r>
        <w:rPr>
          <w:rFonts w:hint="eastAsia" w:ascii="仿宋_GB2312" w:eastAsia="仿宋_GB2312"/>
          <w:b/>
          <w:color w:val="C00000"/>
          <w:sz w:val="28"/>
          <w:szCs w:val="28"/>
          <w:lang w:val="en-US" w:eastAsia="zh-CN"/>
        </w:rPr>
        <w:t>.19-2022.2.23</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商务投标时间：2022.02</w:t>
      </w:r>
      <w:r>
        <w:rPr>
          <w:rFonts w:hint="eastAsia" w:ascii="仿宋_GB2312" w:eastAsia="仿宋_GB2312"/>
          <w:b/>
          <w:color w:val="C00000"/>
          <w:sz w:val="28"/>
          <w:szCs w:val="28"/>
          <w:lang w:val="en-US" w:eastAsia="zh-CN"/>
        </w:rPr>
        <w:t>.19-2022.2.23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四、技术联系人：李军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联系方式：15966583110     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p>
    <w:p>
      <w:pPr>
        <w:numPr>
          <w:ilvl w:val="0"/>
          <w:numId w:val="1"/>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w:t>
      </w:r>
      <w:r>
        <w:rPr>
          <w:rFonts w:hint="eastAsia" w:ascii="仿宋_GB2312" w:hAnsi="宋体" w:eastAsia="仿宋_GB2312"/>
          <w:b/>
          <w:bCs/>
          <w:color w:val="C00000"/>
          <w:sz w:val="28"/>
          <w:szCs w:val="28"/>
          <w:lang w:eastAsia="zh-CN"/>
        </w:rPr>
        <w:t>投标</w:t>
      </w:r>
      <w:r>
        <w:rPr>
          <w:rFonts w:hint="eastAsia" w:ascii="仿宋_GB2312" w:hAnsi="宋体" w:eastAsia="仿宋_GB2312"/>
          <w:b/>
          <w:bCs/>
          <w:color w:val="C00000"/>
          <w:sz w:val="28"/>
          <w:szCs w:val="28"/>
        </w:rPr>
        <w:t>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15684066196</w:t>
      </w:r>
      <w:r>
        <w:rPr>
          <w:rFonts w:hint="eastAsia" w:ascii="仿宋_GB2312" w:hAnsi="宋体" w:eastAsia="仿宋_GB2312"/>
          <w:color w:val="C00000"/>
          <w:sz w:val="28"/>
          <w:szCs w:val="28"/>
        </w:rPr>
        <w:t xml:space="preserve"> </w:t>
      </w:r>
    </w:p>
    <w:p>
      <w:pPr>
        <w:numPr>
          <w:ilvl w:val="0"/>
          <w:numId w:val="1"/>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：招远市国大路</w:t>
      </w:r>
      <w:r>
        <w:rPr>
          <w:rFonts w:hint="eastAsia" w:ascii="仿宋_GB2312" w:hAnsi="宋体" w:eastAsia="仿宋_GB2312"/>
          <w:b/>
          <w:bCs/>
          <w:sz w:val="28"/>
          <w:szCs w:val="28"/>
          <w:lang w:val="en-US" w:eastAsia="zh-CN"/>
        </w:rPr>
        <w:t>268号1楼供应链管理部106</w:t>
      </w:r>
    </w:p>
    <w:p>
      <w:pPr>
        <w:numPr>
          <w:numId w:val="0"/>
        </w:numPr>
        <w:spacing w:line="360" w:lineRule="auto"/>
        <w:ind w:right="70" w:rightChars="0"/>
        <w:rPr>
          <w:rFonts w:hint="default" w:ascii="仿宋_GB2312" w:hAnsi="宋体" w:eastAsia="仿宋_GB2312"/>
          <w:sz w:val="28"/>
          <w:szCs w:val="28"/>
          <w:lang w:val="en-US"/>
        </w:rPr>
      </w:pPr>
      <w:r>
        <w:rPr>
          <w:rFonts w:hint="eastAsia" w:ascii="仿宋_GB2312" w:hAnsi="宋体" w:eastAsia="仿宋_GB2312"/>
          <w:b/>
          <w:bCs/>
          <w:sz w:val="28"/>
          <w:szCs w:val="28"/>
          <w:lang w:val="en-US" w:eastAsia="zh-CN"/>
        </w:rPr>
        <w:t xml:space="preserve">        投标邮箱：</w:t>
      </w:r>
      <w:r>
        <w:rPr>
          <w:rFonts w:hint="eastAsia"/>
          <w:color w:val="FF0000"/>
          <w:sz w:val="28"/>
          <w:szCs w:val="36"/>
          <w:lang w:val="en-US" w:eastAsia="zh-CN"/>
        </w:rPr>
        <w:t>jinbaocg@chinajinbao.com同时抄送sdjbzb@163.com 和lwenling@chinajinbao.com   报价方式：“XXX公司+XXX项目报价”</w:t>
      </w:r>
    </w:p>
    <w:p>
      <w:pPr>
        <w:numPr>
          <w:ilvl w:val="0"/>
          <w:numId w:val="1"/>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邮    编：</w:t>
      </w:r>
      <w:r>
        <w:rPr>
          <w:rFonts w:hint="eastAsia" w:ascii="仿宋_GB2312" w:hAnsi="宋体" w:eastAsia="仿宋_GB2312"/>
          <w:sz w:val="28"/>
          <w:szCs w:val="28"/>
        </w:rPr>
        <w:t>265400</w:t>
      </w:r>
    </w:p>
    <w:p>
      <w:pPr>
        <w:spacing w:line="360" w:lineRule="auto"/>
        <w:ind w:right="70" w:firstLine="562" w:firstLineChars="200"/>
        <w:rPr>
          <w:rFonts w:hint="eastAsia" w:ascii="仿宋_GB2312" w:hAnsi="宋体" w:eastAsia="仿宋_GB2312"/>
          <w:b/>
          <w:bCs/>
          <w:color w:val="C00000"/>
          <w:sz w:val="28"/>
          <w:szCs w:val="28"/>
          <w:lang w:eastAsia="zh-CN"/>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eastAsia="zh-CN"/>
        </w:rPr>
        <w:t>无</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秦忠菊</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r>
        <w:rPr>
          <w:rFonts w:hint="eastAsia" w:ascii="仿宋_GB2312" w:hAnsi="宋体" w:eastAsia="仿宋_GB2312"/>
          <w:b/>
          <w:bCs/>
          <w:sz w:val="28"/>
          <w:szCs w:val="28"/>
          <w:highlight w:val="yellow"/>
          <w:lang w:eastAsia="zh-CN"/>
        </w:rPr>
        <w:t>，也可发送至指定邮箱</w:t>
      </w:r>
      <w:r>
        <w:rPr>
          <w:rFonts w:hint="eastAsia" w:ascii="仿宋_GB2312" w:hAnsi="宋体" w:eastAsia="仿宋_GB2312"/>
          <w:b/>
          <w:bCs/>
          <w:sz w:val="28"/>
          <w:szCs w:val="28"/>
          <w:highlight w:val="yellow"/>
        </w:rPr>
        <w:t>。</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620" w:lineRule="exact"/>
        <w:ind w:right="70" w:firstLine="560" w:firstLineChars="200"/>
        <w:rPr>
          <w:rFonts w:ascii="仿宋_GB2312" w:hAnsi="宋体" w:eastAsia="仿宋_GB2312"/>
          <w:sz w:val="28"/>
          <w:szCs w:val="28"/>
        </w:rPr>
      </w:pPr>
      <w:r>
        <w:rPr>
          <w:rFonts w:hint="eastAsia" w:ascii="仿宋_GB2312" w:hAnsi="宋体" w:eastAsia="仿宋_GB2312"/>
          <w:sz w:val="28"/>
          <w:szCs w:val="28"/>
        </w:rPr>
        <w:t>①安装完成验收合格付款90%</w:t>
      </w:r>
      <w:r>
        <w:rPr>
          <w:rFonts w:hint="eastAsia" w:ascii="仿宋_GB2312" w:hAnsi="宋体" w:eastAsia="仿宋_GB2312" w:cs="Times New Roman"/>
          <w:sz w:val="28"/>
          <w:szCs w:val="28"/>
        </w:rPr>
        <w:t>（甲方收到全额发票后付款）</w:t>
      </w:r>
      <w:r>
        <w:rPr>
          <w:rFonts w:hint="eastAsia" w:ascii="仿宋_GB2312" w:hAnsi="宋体" w:eastAsia="仿宋_GB2312"/>
          <w:sz w:val="28"/>
          <w:szCs w:val="28"/>
        </w:rPr>
        <w:t>；②质保金10%（一年后付清）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 xml:space="preserve">3. </w:t>
      </w:r>
      <w:r>
        <w:rPr>
          <w:rFonts w:hint="eastAsia" w:ascii="仿宋_GB2312" w:hAnsi="宋体" w:eastAsia="仿宋_GB2312" w:cs="Times New Roman"/>
          <w:sz w:val="28"/>
          <w:szCs w:val="28"/>
        </w:rPr>
        <w:t>比上述更优越的付款条件</w:t>
      </w:r>
      <w:r>
        <w:rPr>
          <w:rFonts w:hint="eastAsia" w:ascii="仿宋_GB2312" w:hAnsi="宋体" w:eastAsia="仿宋_GB2312"/>
          <w:sz w:val="28"/>
          <w:szCs w:val="28"/>
        </w:rPr>
        <w:t>；</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4、售后或其他要求：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rPr>
        <w:t xml:space="preserve">     个</w:t>
      </w:r>
      <w:r>
        <w:rPr>
          <w:rFonts w:ascii="仿宋_GB2312" w:hAnsi="宋体" w:eastAsia="仿宋_GB2312"/>
          <w:sz w:val="28"/>
          <w:szCs w:val="28"/>
        </w:rPr>
        <w:t>日历日</w:t>
      </w:r>
      <w:r>
        <w:rPr>
          <w:rFonts w:hint="eastAsia" w:ascii="仿宋_GB2312" w:hAnsi="宋体" w:eastAsia="仿宋_GB2312"/>
          <w:sz w:val="28"/>
          <w:szCs w:val="28"/>
        </w:rPr>
        <w:t>发货。</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2、交货地点：铜箔天府路厂。</w:t>
      </w: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line="62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一、改造项目基本依据</w:t>
      </w:r>
    </w:p>
    <w:p>
      <w:pPr>
        <w:spacing w:line="62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根据铜箔生产工艺要求</w:t>
      </w:r>
    </w:p>
    <w:p>
      <w:pPr>
        <w:spacing w:line="620" w:lineRule="exact"/>
        <w:rPr>
          <w:rFonts w:ascii="仿宋_GB2312" w:hAnsi="仿宋_GB2312" w:eastAsia="仿宋_GB2312" w:cs="仿宋_GB2312"/>
          <w:sz w:val="28"/>
          <w:szCs w:val="32"/>
        </w:rPr>
      </w:pPr>
      <w:r>
        <w:rPr>
          <w:rFonts w:hint="eastAsia" w:ascii="仿宋_GB2312" w:hAnsi="仿宋_GB2312" w:eastAsia="仿宋_GB2312" w:cs="仿宋_GB2312"/>
          <w:sz w:val="28"/>
          <w:szCs w:val="32"/>
        </w:rPr>
        <w:t>二、工程介绍及要求</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本次招标项目为金宝电子铜箔天府路厂表面溶铜升级改造的设计、采购与安装项目，位置位于山东省招远市。本项目包括表面溶铜所涉及的热工过程工艺参数的监控、调节、联锁、保护、报警、记录等。上位机可以操控所有自控系统，并保证温度、压力等工艺参数要在上位机保存1年以上，在需要的时候可以随时拷贝使用。</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1.本工程采用总承包方式建造，根据提供的厂房区域及参数设计图纸要求，完成表面溶铜提升改造项目自控系统的设计、安装、调试和培训等。</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2.投标人必须有铜箔生产自控系统的设计、安装</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调试相关资质和经验</w:t>
      </w:r>
      <w:r>
        <w:rPr>
          <w:rFonts w:ascii="仿宋_GB2312" w:hAnsi="仿宋_GB2312" w:eastAsia="仿宋_GB2312" w:cs="仿宋_GB2312"/>
          <w:sz w:val="28"/>
          <w:szCs w:val="32"/>
        </w:rPr>
        <w:t>,</w:t>
      </w:r>
      <w:r>
        <w:rPr>
          <w:rFonts w:hint="eastAsia" w:ascii="仿宋_GB2312" w:hAnsi="仿宋_GB2312" w:eastAsia="仿宋_GB2312" w:cs="仿宋_GB2312"/>
          <w:sz w:val="28"/>
          <w:szCs w:val="32"/>
        </w:rPr>
        <w:t>拥有制造、安装、调试、生产操作、维修的技术人才，有效的管理体制，有严格的质量保证体系，有同类型项目设计、安装的丰富经验和业绩。投标方应充分论证、优化设计和合理选型。</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3.本工程采用包工、包料、包工期、包质量、包安全、包文明施工、包竣工验收等，招标方提供的方案如有和现场不符，以现场为准。</w:t>
      </w:r>
      <w:r>
        <w:rPr>
          <w:rFonts w:ascii="仿宋_GB2312" w:hAnsi="仿宋_GB2312" w:eastAsia="仿宋_GB2312" w:cs="仿宋_GB2312"/>
          <w:sz w:val="28"/>
          <w:szCs w:val="32"/>
        </w:rPr>
        <w:t xml:space="preserve"> </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4.开工前场地勘察和布置规划由投标方负责。</w:t>
      </w:r>
    </w:p>
    <w:p>
      <w:pPr>
        <w:numPr>
          <w:ilvl w:val="0"/>
          <w:numId w:val="5"/>
        </w:numPr>
        <w:adjustRightInd w:val="0"/>
        <w:snapToGrid w:val="0"/>
        <w:spacing w:after="72"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工程范围及技术要求：</w:t>
      </w:r>
    </w:p>
    <w:p>
      <w:pPr>
        <w:adjustRightInd w:val="0"/>
        <w:snapToGrid w:val="0"/>
        <w:spacing w:after="72"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3.1控制柜清单</w:t>
      </w:r>
      <w:r>
        <w:rPr>
          <w:rFonts w:hint="eastAsia" w:ascii="仿宋_GB2312" w:hAnsi="仿宋_GB2312" w:eastAsia="仿宋_GB2312" w:cs="仿宋_GB2312"/>
          <w:sz w:val="28"/>
          <w:szCs w:val="32"/>
        </w:rPr>
        <w:tab/>
      </w:r>
      <w:r>
        <w:rPr>
          <w:rFonts w:hint="eastAsia" w:ascii="仿宋_GB2312" w:hAnsi="仿宋_GB2312" w:eastAsia="仿宋_GB2312" w:cs="仿宋_GB2312"/>
          <w:sz w:val="28"/>
          <w:szCs w:val="32"/>
        </w:rPr>
        <w:t>：</w:t>
      </w:r>
    </w:p>
    <w:tbl>
      <w:tblPr>
        <w:tblStyle w:val="6"/>
        <w:tblpPr w:leftFromText="180" w:rightFromText="180" w:vertAnchor="text" w:horzAnchor="page" w:tblpX="1165" w:tblpY="619"/>
        <w:tblOverlap w:val="never"/>
        <w:tblW w:w="9409" w:type="dxa"/>
        <w:tblInd w:w="0" w:type="dxa"/>
        <w:tblLayout w:type="fixed"/>
        <w:tblCellMar>
          <w:top w:w="15" w:type="dxa"/>
          <w:left w:w="15" w:type="dxa"/>
          <w:bottom w:w="15" w:type="dxa"/>
          <w:right w:w="15" w:type="dxa"/>
        </w:tblCellMar>
      </w:tblPr>
      <w:tblGrid>
        <w:gridCol w:w="866"/>
        <w:gridCol w:w="2603"/>
        <w:gridCol w:w="3225"/>
        <w:gridCol w:w="1470"/>
        <w:gridCol w:w="1245"/>
      </w:tblGrid>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序号</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名称</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规格型号</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单位</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数量</w:t>
            </w:r>
          </w:p>
        </w:tc>
      </w:tr>
      <w:tr>
        <w:tblPrEx>
          <w:tblCellMar>
            <w:top w:w="15" w:type="dxa"/>
            <w:left w:w="15" w:type="dxa"/>
            <w:bottom w:w="15" w:type="dxa"/>
            <w:right w:w="15" w:type="dxa"/>
          </w:tblCellMar>
        </w:tblPrEx>
        <w:trPr>
          <w:trHeight w:val="585"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w:t>
            </w:r>
          </w:p>
        </w:tc>
        <w:tc>
          <w:tcPr>
            <w:tcW w:w="26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表面溶铜控制柜</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1600*600*400</w:t>
            </w:r>
          </w:p>
        </w:tc>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32"/>
              </w:rPr>
            </w:pPr>
            <w:r>
              <w:rPr>
                <w:rFonts w:hint="eastAsia" w:ascii="仿宋_GB2312" w:hAnsi="仿宋_GB2312" w:eastAsia="仿宋_GB2312" w:cs="仿宋_GB2312"/>
                <w:sz w:val="28"/>
                <w:szCs w:val="32"/>
              </w:rPr>
              <w:t>1</w:t>
            </w:r>
          </w:p>
        </w:tc>
      </w:tr>
    </w:tbl>
    <w:p>
      <w:pPr>
        <w:pStyle w:val="11"/>
        <w:spacing w:line="360" w:lineRule="auto"/>
        <w:ind w:right="69" w:rightChars="33"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3.2工程范围</w:t>
      </w:r>
    </w:p>
    <w:p>
      <w:pPr>
        <w:pStyle w:val="11"/>
        <w:spacing w:line="360" w:lineRule="auto"/>
        <w:ind w:right="69" w:rightChars="33"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（1）中标方负责控制柜就位、电缆桥架的安装、电缆的铺设及接线调试；</w:t>
      </w:r>
    </w:p>
    <w:p>
      <w:pPr>
        <w:pStyle w:val="11"/>
        <w:spacing w:line="360" w:lineRule="auto"/>
        <w:ind w:right="69" w:rightChars="33"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（2）中标方负责除上述设备、材料外，安装所用其他辅材如：穿线管、卡扣、螺栓、绝缘胶带、波纹管及其他安装辅料材料、配套设施；</w:t>
      </w:r>
    </w:p>
    <w:p>
      <w:pPr>
        <w:pStyle w:val="11"/>
        <w:spacing w:line="360" w:lineRule="auto"/>
        <w:ind w:right="69" w:rightChars="33"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3）中标方负责自控仪表及设备的供货及安装。自控仪表及设备按质量控制体系按ISO9001-2000质量体系执行，提供符合招标方项目建设地气象极限条件的产品，并应充分考虑现场气候的腐蚀性问题，技术参数、技术要求之依据为招标方工艺设备提供的数据和要求，以及工艺专业自控设计条件。对于设备或管道上所安装的仪表的连接辅材（如法兰、底座等）由中标方提供，但其焊接及相应管道开孔按中标方提出的相关安装要求，由业主完成。</w:t>
      </w:r>
    </w:p>
    <w:p>
      <w:pPr>
        <w:pStyle w:val="11"/>
        <w:spacing w:line="360" w:lineRule="auto"/>
        <w:ind w:right="69" w:rightChars="33"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3.3现场仪表技术及辅件要求：</w:t>
      </w:r>
    </w:p>
    <w:p>
      <w:pPr>
        <w:pStyle w:val="11"/>
        <w:spacing w:line="360" w:lineRule="auto"/>
        <w:ind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3.3.1雷达液位计</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数量：5台，工况参数见表。</w:t>
      </w:r>
    </w:p>
    <w:p>
      <w:pPr>
        <w:widowControl/>
        <w:spacing w:line="360" w:lineRule="auto"/>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测量功能：完成液体的物位的测量</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测量范围：见工况参数表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 xml:space="preserve">精度：±3 mm（测量距离≤10 m/33 ft）； </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电源：12...30 VDC</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信号输出：4~20mA（HART）</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天线材质：根据工况而定</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品牌：进口品牌</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3.3.2 电动调节阀</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数量：8台，工况参数及要求见表。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调节功能：通过调节剂量（低温水、冷水、热水、蒸汽）实现对被控变量的调节</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控制信号：4~20mA（或0~10VAC）</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反馈信号：4~20mA（或0~10VAC）</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供电：AC24V</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配管方式：法兰式，HG20592-2009</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流量特性：等百分比或线性（可设定）</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安全位置：失电阀门关闭（电开式）</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品牌：进口</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3.3.3 温度传感及变送器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数量：8台，工况参数及要求见表。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测量范围：0~100℃</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安装长度：见工况参数表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连接规格：M27×2</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测温件保护管及螺纹材质：详见附表</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温度变送器：带</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输出信号：4-20mA</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精度：A级</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品牌：国内知名品牌</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3.3.4 PH电极</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数量：3台，工况参数及要求见表。</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 xml:space="preserve">测量范围：0-14pH   </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输出信号：4~20mA+HART，一体化变送</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防护等级：IP68</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过程连接：PG13.5</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含Pt1000温度补偿</w:t>
      </w:r>
    </w:p>
    <w:p>
      <w:pPr>
        <w:pStyle w:val="5"/>
        <w:shd w:val="clear" w:color="auto" w:fill="FFFFFF"/>
        <w:spacing w:beforeAutospacing="0" w:afterAutospacing="0" w:line="450" w:lineRule="atLeast"/>
        <w:rPr>
          <w:rFonts w:ascii="仿宋_GB2312" w:hAnsi="仿宋_GB2312" w:eastAsia="仿宋_GB2312" w:cs="仿宋_GB2312"/>
          <w:kern w:val="2"/>
          <w:sz w:val="28"/>
          <w:szCs w:val="32"/>
        </w:rPr>
      </w:pPr>
      <w:r>
        <w:rPr>
          <w:rFonts w:hint="eastAsia" w:ascii="仿宋_GB2312" w:hAnsi="仿宋_GB2312" w:eastAsia="仿宋_GB2312" w:cs="仿宋_GB2312"/>
          <w:kern w:val="2"/>
          <w:sz w:val="28"/>
          <w:szCs w:val="32"/>
        </w:rPr>
        <w:t>品牌：进口</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3.3.5屏蔽电缆采用红铜或镀锡铜组成的金属网状编织层；导线截面积及屏蔽网应符合国家标准；</w:t>
      </w:r>
      <w:r>
        <w:rPr>
          <w:rFonts w:hint="eastAsia" w:ascii="仿宋_GB2312" w:hAnsi="仿宋_GB2312" w:eastAsia="仿宋_GB2312" w:cs="仿宋_GB2312"/>
          <w:sz w:val="28"/>
          <w:szCs w:val="32"/>
          <w:highlight w:val="yellow"/>
        </w:rPr>
        <w:t>数量根据现场确定，原有桥架无需更换。</w:t>
      </w:r>
    </w:p>
    <w:p>
      <w:pPr>
        <w:adjustRightInd w:val="0"/>
        <w:snapToGrid w:val="0"/>
        <w:spacing w:line="360" w:lineRule="auto"/>
        <w:rPr>
          <w:rFonts w:ascii="仿宋_GB2312" w:hAnsi="仿宋_GB2312" w:eastAsia="仿宋_GB2312" w:cs="仿宋_GB2312"/>
          <w:b/>
          <w:sz w:val="28"/>
          <w:szCs w:val="32"/>
        </w:rPr>
      </w:pPr>
      <w:r>
        <w:rPr>
          <w:rFonts w:hint="eastAsia" w:ascii="仿宋_GB2312" w:hAnsi="仿宋_GB2312" w:eastAsia="仿宋_GB2312" w:cs="仿宋_GB2312"/>
          <w:sz w:val="28"/>
          <w:szCs w:val="32"/>
        </w:rPr>
        <w:t>屏蔽电缆执行国家标准：</w:t>
      </w:r>
      <w:r>
        <w:rPr>
          <w:rFonts w:hint="eastAsia" w:ascii="仿宋_GB2312" w:hAnsi="仿宋_GB2312" w:eastAsia="仿宋_GB2312" w:cs="仿宋_GB2312"/>
          <w:b/>
          <w:sz w:val="28"/>
          <w:szCs w:val="32"/>
        </w:rPr>
        <w:t>JB/T8734.5-2012</w:t>
      </w:r>
    </w:p>
    <w:p>
      <w:pPr>
        <w:adjustRightInd w:val="0"/>
        <w:snapToGrid w:val="0"/>
        <w:spacing w:line="360" w:lineRule="auto"/>
        <w:rPr>
          <w:rFonts w:ascii="仿宋_GB2312" w:hAnsi="仿宋_GB2312" w:eastAsia="仿宋_GB2312" w:cs="仿宋_GB2312"/>
          <w:b/>
          <w:sz w:val="28"/>
          <w:szCs w:val="32"/>
        </w:rPr>
      </w:pPr>
      <w:r>
        <w:rPr>
          <w:rFonts w:hint="eastAsia" w:ascii="仿宋_GB2312" w:hAnsi="仿宋_GB2312" w:eastAsia="仿宋_GB2312" w:cs="仿宋_GB2312"/>
          <w:sz w:val="28"/>
          <w:szCs w:val="32"/>
        </w:rPr>
        <w:t>机械性能试验：</w:t>
      </w:r>
      <w:r>
        <w:rPr>
          <w:rFonts w:hint="eastAsia" w:ascii="仿宋_GB2312" w:hAnsi="仿宋_GB2312" w:eastAsia="仿宋_GB2312" w:cs="仿宋_GB2312"/>
          <w:b/>
          <w:sz w:val="28"/>
          <w:szCs w:val="32"/>
        </w:rPr>
        <w:t>GB/T  2951.11-2008</w:t>
      </w:r>
    </w:p>
    <w:p>
      <w:pPr>
        <w:adjustRightInd w:val="0"/>
        <w:snapToGrid w:val="0"/>
        <w:spacing w:line="360" w:lineRule="auto"/>
        <w:rPr>
          <w:rFonts w:ascii="仿宋_GB2312" w:hAnsi="仿宋_GB2312" w:eastAsia="仿宋_GB2312" w:cs="仿宋_GB2312"/>
          <w:b/>
          <w:sz w:val="28"/>
          <w:szCs w:val="32"/>
        </w:rPr>
      </w:pPr>
      <w:r>
        <w:rPr>
          <w:rFonts w:hint="eastAsia" w:ascii="仿宋_GB2312" w:hAnsi="仿宋_GB2312" w:eastAsia="仿宋_GB2312" w:cs="仿宋_GB2312"/>
          <w:sz w:val="28"/>
          <w:szCs w:val="32"/>
        </w:rPr>
        <w:t>热老化试验：</w:t>
      </w:r>
      <w:r>
        <w:rPr>
          <w:rFonts w:hint="eastAsia" w:ascii="仿宋_GB2312" w:hAnsi="仿宋_GB2312" w:eastAsia="仿宋_GB2312" w:cs="仿宋_GB2312"/>
          <w:b/>
          <w:sz w:val="28"/>
          <w:szCs w:val="32"/>
        </w:rPr>
        <w:t xml:space="preserve">  GB/T  2951.12-2008</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导线长期允许工作温度不超过90℃，适用于额定电压300V及以下控制及保护线路的连接线。</w:t>
      </w:r>
    </w:p>
    <w:p>
      <w:pPr>
        <w:pStyle w:val="13"/>
        <w:spacing w:line="360" w:lineRule="auto"/>
        <w:rPr>
          <w:rFonts w:ascii="仿宋_GB2312" w:hAnsi="仿宋_GB2312" w:eastAsia="仿宋_GB2312" w:cs="仿宋_GB2312"/>
          <w:color w:val="auto"/>
          <w:kern w:val="2"/>
          <w:sz w:val="28"/>
          <w:szCs w:val="32"/>
        </w:rPr>
      </w:pPr>
      <w:r>
        <w:rPr>
          <w:rFonts w:hint="eastAsia" w:ascii="仿宋_GB2312" w:hAnsi="仿宋_GB2312" w:eastAsia="仿宋_GB2312" w:cs="仿宋_GB2312"/>
          <w:color w:val="auto"/>
          <w:kern w:val="2"/>
          <w:sz w:val="28"/>
          <w:szCs w:val="32"/>
        </w:rPr>
        <w:t>3.4 计算机控制系统技术要求</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3.4.1提供满足本技术规范要求所必需的硬件、软件和各项服务。其中包括(但不限于)下列内容：</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1）按照系统运行要求、本技术规范的规定和适用的工业标准，配置西门子S7-300 PLC和上位机控制系统。</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2）提供构成PLC所必需的全部硬件、软件，以及软件组态工作，以及PLC与上位机控制系统之间的设备协调，并负责相关的硬接线和通讯设备及接口工作，并承诺接口的形式和数量能够满足招标方对控制系统整体设计方案的要求。</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3）达到本技术规范规定的全部功能要求，进行PLC及上位机软件的组态编程和系统调试。</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4）根据本技术规范的要求，提供必需的安装详图和安装指导。向买方提供施工图设计、安装调试、运行维护、系统二次开发所需的全部图纸、资料。</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5）负责培训买方的运行和维护工程技术人员，并使这些培训人员能进行PLC和上位机软件简单的修改和调试。</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6）负责提供完善的售后和后续服务，包括备品备件的供应、必要时系统的扩展和系统的维护等。</w:t>
      </w:r>
    </w:p>
    <w:p>
      <w:pPr>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3.5质保期：壹年。</w:t>
      </w:r>
    </w:p>
    <w:p>
      <w:pPr>
        <w:adjustRightInd w:val="0"/>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3.6本次招标采购标的，运输、卸车、吊装、搬运、拆卸及所需的工具等费用均由投标方负责；</w:t>
      </w:r>
    </w:p>
    <w:p>
      <w:pPr>
        <w:adjustRightInd w:val="0"/>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注：以上技术指标建议投标方到铜箔天府路厂现场进一步落实技术参数后进行投标。</w:t>
      </w:r>
      <w:r>
        <w:rPr>
          <w:rFonts w:ascii="仿宋_GB2312" w:hAnsi="仿宋_GB2312" w:eastAsia="仿宋_GB2312" w:cs="仿宋_GB2312"/>
          <w:color w:val="FF0000"/>
          <w:sz w:val="32"/>
          <w:szCs w:val="32"/>
        </w:rPr>
        <w:t xml:space="preserve"> </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3"/>
          <w:jc w:val="center"/>
        </w:pPr>
        <w:r>
          <w:fldChar w:fldCharType="begin"/>
        </w:r>
        <w:r>
          <w:instrText xml:space="preserve">PAGE   \* MERGEFORMAT</w:instrText>
        </w:r>
        <w:r>
          <w:fldChar w:fldCharType="separate"/>
        </w:r>
        <w:r>
          <w:rPr>
            <w:lang w:val="zh-CN"/>
          </w:rPr>
          <w:t>11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b/>
        <w:bCs/>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E777FD5"/>
    <w:multiLevelType w:val="singleLevel"/>
    <w:tmpl w:val="7E777FD5"/>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639C"/>
    <w:rsid w:val="00036F46"/>
    <w:rsid w:val="00066F84"/>
    <w:rsid w:val="00097401"/>
    <w:rsid w:val="000A04FB"/>
    <w:rsid w:val="000F2FB0"/>
    <w:rsid w:val="001217FC"/>
    <w:rsid w:val="0013572F"/>
    <w:rsid w:val="00153B2F"/>
    <w:rsid w:val="001617A0"/>
    <w:rsid w:val="001815FF"/>
    <w:rsid w:val="001D0E12"/>
    <w:rsid w:val="00201108"/>
    <w:rsid w:val="00242018"/>
    <w:rsid w:val="002427B8"/>
    <w:rsid w:val="0031742A"/>
    <w:rsid w:val="00340D2C"/>
    <w:rsid w:val="0035221B"/>
    <w:rsid w:val="00385165"/>
    <w:rsid w:val="003F09B9"/>
    <w:rsid w:val="004044EC"/>
    <w:rsid w:val="00434F86"/>
    <w:rsid w:val="00446AA9"/>
    <w:rsid w:val="00447816"/>
    <w:rsid w:val="004500EE"/>
    <w:rsid w:val="00464B79"/>
    <w:rsid w:val="0048716E"/>
    <w:rsid w:val="00496BF6"/>
    <w:rsid w:val="004C1FC6"/>
    <w:rsid w:val="004F2EB8"/>
    <w:rsid w:val="00505835"/>
    <w:rsid w:val="00515127"/>
    <w:rsid w:val="00542B2D"/>
    <w:rsid w:val="00543389"/>
    <w:rsid w:val="00544194"/>
    <w:rsid w:val="005B5E50"/>
    <w:rsid w:val="005D1CFE"/>
    <w:rsid w:val="005E6B4B"/>
    <w:rsid w:val="005F392F"/>
    <w:rsid w:val="006457F3"/>
    <w:rsid w:val="00670B15"/>
    <w:rsid w:val="006A6992"/>
    <w:rsid w:val="006D462D"/>
    <w:rsid w:val="006D6272"/>
    <w:rsid w:val="007106C3"/>
    <w:rsid w:val="007171D2"/>
    <w:rsid w:val="007200B5"/>
    <w:rsid w:val="00746246"/>
    <w:rsid w:val="007576FD"/>
    <w:rsid w:val="00773134"/>
    <w:rsid w:val="007C5761"/>
    <w:rsid w:val="00810526"/>
    <w:rsid w:val="0081621E"/>
    <w:rsid w:val="00820DB8"/>
    <w:rsid w:val="008269DC"/>
    <w:rsid w:val="00832C08"/>
    <w:rsid w:val="00870A95"/>
    <w:rsid w:val="00877824"/>
    <w:rsid w:val="00894F8F"/>
    <w:rsid w:val="008B46E9"/>
    <w:rsid w:val="008D3CEE"/>
    <w:rsid w:val="00912E27"/>
    <w:rsid w:val="00924D21"/>
    <w:rsid w:val="0095248A"/>
    <w:rsid w:val="00963A40"/>
    <w:rsid w:val="009650B7"/>
    <w:rsid w:val="009D4BBC"/>
    <w:rsid w:val="009D5B70"/>
    <w:rsid w:val="009E1A4D"/>
    <w:rsid w:val="00A37EC4"/>
    <w:rsid w:val="00A6047A"/>
    <w:rsid w:val="00A74DBB"/>
    <w:rsid w:val="00A87C26"/>
    <w:rsid w:val="00B02199"/>
    <w:rsid w:val="00B02A04"/>
    <w:rsid w:val="00B06E5F"/>
    <w:rsid w:val="00B142FC"/>
    <w:rsid w:val="00B15EB1"/>
    <w:rsid w:val="00B37251"/>
    <w:rsid w:val="00B637ED"/>
    <w:rsid w:val="00B66E69"/>
    <w:rsid w:val="00B75E47"/>
    <w:rsid w:val="00B858A1"/>
    <w:rsid w:val="00BE2C08"/>
    <w:rsid w:val="00BE5080"/>
    <w:rsid w:val="00C327A2"/>
    <w:rsid w:val="00C354EF"/>
    <w:rsid w:val="00C36BDA"/>
    <w:rsid w:val="00C756C1"/>
    <w:rsid w:val="00CA062E"/>
    <w:rsid w:val="00CF1DD5"/>
    <w:rsid w:val="00D1664D"/>
    <w:rsid w:val="00D3366E"/>
    <w:rsid w:val="00D4147A"/>
    <w:rsid w:val="00D813B1"/>
    <w:rsid w:val="00D9703E"/>
    <w:rsid w:val="00DE587A"/>
    <w:rsid w:val="00DE7334"/>
    <w:rsid w:val="00E108FE"/>
    <w:rsid w:val="00E15EAC"/>
    <w:rsid w:val="00E225CA"/>
    <w:rsid w:val="00E602BD"/>
    <w:rsid w:val="00E7566F"/>
    <w:rsid w:val="00E80FFB"/>
    <w:rsid w:val="00ED1463"/>
    <w:rsid w:val="00F04AE1"/>
    <w:rsid w:val="00F1223D"/>
    <w:rsid w:val="00F20309"/>
    <w:rsid w:val="00F9392B"/>
    <w:rsid w:val="00F94F76"/>
    <w:rsid w:val="00FC13DD"/>
    <w:rsid w:val="00FD03BA"/>
    <w:rsid w:val="00FF037C"/>
    <w:rsid w:val="00FF0717"/>
    <w:rsid w:val="00FF5E3A"/>
    <w:rsid w:val="02F44726"/>
    <w:rsid w:val="052F7BE9"/>
    <w:rsid w:val="07E354E8"/>
    <w:rsid w:val="092D3A77"/>
    <w:rsid w:val="098B184A"/>
    <w:rsid w:val="0DB77E27"/>
    <w:rsid w:val="0DCB704F"/>
    <w:rsid w:val="107E1436"/>
    <w:rsid w:val="107F16C6"/>
    <w:rsid w:val="14D70820"/>
    <w:rsid w:val="18AB3EEC"/>
    <w:rsid w:val="190C6619"/>
    <w:rsid w:val="199D333E"/>
    <w:rsid w:val="1E0848A5"/>
    <w:rsid w:val="1E3F18D8"/>
    <w:rsid w:val="1F456344"/>
    <w:rsid w:val="219A24C7"/>
    <w:rsid w:val="233D6EE4"/>
    <w:rsid w:val="23557DEB"/>
    <w:rsid w:val="24231D8E"/>
    <w:rsid w:val="24360A08"/>
    <w:rsid w:val="25915A0E"/>
    <w:rsid w:val="261A4D4C"/>
    <w:rsid w:val="27A527BF"/>
    <w:rsid w:val="27C33CA0"/>
    <w:rsid w:val="2A6A5A19"/>
    <w:rsid w:val="2B5108D7"/>
    <w:rsid w:val="2B7C2FDF"/>
    <w:rsid w:val="2BE66046"/>
    <w:rsid w:val="2E6D47B6"/>
    <w:rsid w:val="2EFB6735"/>
    <w:rsid w:val="305220E0"/>
    <w:rsid w:val="306C3DFF"/>
    <w:rsid w:val="31B30842"/>
    <w:rsid w:val="3202624E"/>
    <w:rsid w:val="34377F50"/>
    <w:rsid w:val="3E25152A"/>
    <w:rsid w:val="3FFA719D"/>
    <w:rsid w:val="403445E0"/>
    <w:rsid w:val="406C535E"/>
    <w:rsid w:val="43E837B0"/>
    <w:rsid w:val="45011451"/>
    <w:rsid w:val="49586F36"/>
    <w:rsid w:val="4AC23C30"/>
    <w:rsid w:val="4CA95EBA"/>
    <w:rsid w:val="4DFC6236"/>
    <w:rsid w:val="51AD6F01"/>
    <w:rsid w:val="52363323"/>
    <w:rsid w:val="52D954E2"/>
    <w:rsid w:val="538B5D6C"/>
    <w:rsid w:val="546759DA"/>
    <w:rsid w:val="547C4E2A"/>
    <w:rsid w:val="54C67B58"/>
    <w:rsid w:val="5D054434"/>
    <w:rsid w:val="5EA87FAD"/>
    <w:rsid w:val="636546D8"/>
    <w:rsid w:val="638F45DC"/>
    <w:rsid w:val="64AB558A"/>
    <w:rsid w:val="6A93015D"/>
    <w:rsid w:val="6DC2661B"/>
    <w:rsid w:val="712C5A62"/>
    <w:rsid w:val="7452317D"/>
    <w:rsid w:val="753D7DC7"/>
    <w:rsid w:val="75936E93"/>
    <w:rsid w:val="760A5128"/>
    <w:rsid w:val="7B78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eastAsia="宋体"/>
      <w:kern w:val="2"/>
      <w:sz w:val="18"/>
      <w:szCs w:val="18"/>
    </w:rPr>
  </w:style>
  <w:style w:type="character" w:customStyle="1" w:styleId="10">
    <w:name w:val="页脚 Char"/>
    <w:basedOn w:val="7"/>
    <w:link w:val="3"/>
    <w:qFormat/>
    <w:uiPriority w:val="99"/>
    <w:rPr>
      <w:rFonts w:eastAsia="宋体"/>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2"/>
    <w:qFormat/>
    <w:uiPriority w:val="0"/>
    <w:rPr>
      <w:rFonts w:eastAsia="宋体"/>
      <w:kern w:val="2"/>
      <w:sz w:val="18"/>
      <w:szCs w:val="18"/>
    </w:rPr>
  </w:style>
  <w:style w:type="paragraph" w:customStyle="1" w:styleId="13">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623</Words>
  <Characters>3555</Characters>
  <Lines>29</Lines>
  <Paragraphs>8</Paragraphs>
  <TotalTime>2</TotalTime>
  <ScaleCrop>false</ScaleCrop>
  <LinksUpToDate>false</LinksUpToDate>
  <CharactersWithSpaces>4170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2022-02-19T00:28:16Z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C27BFEED3E6A45B5B54867764B326DA6</vt:lpwstr>
  </property>
</Properties>
</file>