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 xml:space="preserve">   招标文件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left="2765" w:leftChars="600" w:hanging="1505" w:hangingChars="5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铜箔天府路厂板式换热器采购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r>
        <w:rPr>
          <w:rFonts w:hint="eastAsia" w:ascii="仿宋" w:hAnsi="仿宋" w:eastAsia="仿宋" w:cs="仿宋"/>
          <w:b/>
          <w:bCs/>
          <w:spacing w:val="10"/>
          <w:sz w:val="28"/>
          <w:szCs w:val="28"/>
        </w:rPr>
        <w:t xml:space="preserve"> </w:t>
      </w: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300" w:firstLineChars="11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 01月14日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 xml:space="preserve">“ </w:t>
      </w:r>
      <w:r>
        <w:rPr>
          <w:rFonts w:hint="eastAsia" w:ascii="仿宋" w:hAnsi="仿宋" w:eastAsia="仿宋" w:cs="仿宋"/>
          <w:b/>
          <w:bCs/>
          <w:spacing w:val="10"/>
          <w:sz w:val="28"/>
          <w:szCs w:val="28"/>
          <w:u w:val="single"/>
        </w:rPr>
        <w:t>板式换热器</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板式换热器采购</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000000" w:themeColor="text1"/>
          <w:sz w:val="28"/>
          <w:szCs w:val="28"/>
          <w:highlight w:val="none"/>
          <w:lang w:val="en-US" w:eastAsia="zh-CN"/>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技术投标</w:t>
      </w:r>
      <w:r>
        <w:rPr>
          <w:rFonts w:hint="eastAsia" w:ascii="仿宋_GB2312" w:eastAsia="仿宋_GB2312"/>
          <w:b/>
          <w:color w:val="000000" w:themeColor="text1"/>
          <w:sz w:val="28"/>
          <w:szCs w:val="28"/>
          <w:highlight w:val="none"/>
          <w:lang w:eastAsia="zh-CN"/>
          <w14:textFill>
            <w14:solidFill>
              <w14:schemeClr w14:val="tx1"/>
            </w14:solidFill>
          </w14:textFill>
        </w:rPr>
        <w:t>截止</w:t>
      </w:r>
      <w:r>
        <w:rPr>
          <w:rFonts w:hint="eastAsia" w:ascii="仿宋_GB2312" w:eastAsia="仿宋_GB2312"/>
          <w:b/>
          <w:color w:val="000000" w:themeColor="text1"/>
          <w:sz w:val="28"/>
          <w:szCs w:val="28"/>
          <w:highlight w:val="none"/>
          <w14:textFill>
            <w14:solidFill>
              <w14:schemeClr w14:val="tx1"/>
            </w14:solidFill>
          </w14:textFill>
        </w:rPr>
        <w:t>时间：2022.01</w:t>
      </w:r>
      <w:r>
        <w:rPr>
          <w:rFonts w:hint="eastAsia" w:ascii="仿宋_GB2312" w:eastAsia="仿宋_GB2312"/>
          <w:b/>
          <w:color w:val="000000" w:themeColor="text1"/>
          <w:sz w:val="28"/>
          <w:szCs w:val="28"/>
          <w:highlight w:val="none"/>
          <w:lang w:val="en-US" w:eastAsia="zh-CN"/>
          <w14:textFill>
            <w14:solidFill>
              <w14:schemeClr w14:val="tx1"/>
            </w14:solidFill>
          </w14:textFill>
        </w:rPr>
        <w:t>.21</w:t>
      </w:r>
    </w:p>
    <w:p>
      <w:pPr>
        <w:spacing w:line="360" w:lineRule="auto"/>
        <w:ind w:firstLine="1124" w:firstLineChars="400"/>
        <w:rPr>
          <w:rFonts w:hint="default" w:ascii="仿宋_GB2312" w:eastAsia="仿宋_GB2312"/>
          <w:bCs/>
          <w:color w:val="000000" w:themeColor="text1"/>
          <w:sz w:val="28"/>
          <w:szCs w:val="28"/>
          <w:highlight w:val="none"/>
          <w:lang w:val="en-US" w:eastAsia="zh-CN"/>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商务投标</w:t>
      </w:r>
      <w:r>
        <w:rPr>
          <w:rFonts w:hint="eastAsia" w:ascii="仿宋_GB2312" w:eastAsia="仿宋_GB2312"/>
          <w:b/>
          <w:color w:val="000000" w:themeColor="text1"/>
          <w:sz w:val="28"/>
          <w:szCs w:val="28"/>
          <w:highlight w:val="none"/>
          <w:lang w:eastAsia="zh-CN"/>
          <w14:textFill>
            <w14:solidFill>
              <w14:schemeClr w14:val="tx1"/>
            </w14:solidFill>
          </w14:textFill>
        </w:rPr>
        <w:t>截止</w:t>
      </w:r>
      <w:r>
        <w:rPr>
          <w:rFonts w:hint="eastAsia" w:ascii="仿宋_GB2312" w:eastAsia="仿宋_GB2312"/>
          <w:b/>
          <w:color w:val="000000" w:themeColor="text1"/>
          <w:sz w:val="28"/>
          <w:szCs w:val="28"/>
          <w:highlight w:val="none"/>
          <w14:textFill>
            <w14:solidFill>
              <w14:schemeClr w14:val="tx1"/>
            </w14:solidFill>
          </w14:textFill>
        </w:rPr>
        <w:t>时间：2022.01</w:t>
      </w:r>
      <w:r>
        <w:rPr>
          <w:rFonts w:hint="eastAsia" w:ascii="仿宋_GB2312" w:eastAsia="仿宋_GB2312"/>
          <w:b/>
          <w:color w:val="000000" w:themeColor="text1"/>
          <w:sz w:val="28"/>
          <w:szCs w:val="28"/>
          <w:highlight w:val="none"/>
          <w:lang w:val="en-US" w:eastAsia="zh-CN"/>
          <w14:textFill>
            <w14:solidFill>
              <w14:schemeClr w14:val="tx1"/>
            </w14:solidFill>
          </w14:textFill>
        </w:rPr>
        <w:t>.24</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四、技术联系人：王世岐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联系方式：13953530690      13780923594</w:t>
      </w:r>
    </w:p>
    <w:p>
      <w:pPr>
        <w:numPr>
          <w:ilvl w:val="0"/>
          <w:numId w:val="1"/>
        </w:numPr>
        <w:spacing w:line="360" w:lineRule="auto"/>
        <w:ind w:right="70"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 xml:space="preserve">商务联系人： </w:t>
      </w:r>
      <w:r>
        <w:rPr>
          <w:rFonts w:hint="eastAsia" w:ascii="仿宋_GB2312" w:hAnsi="宋体" w:eastAsia="仿宋_GB2312"/>
          <w:b/>
          <w:bCs/>
          <w:color w:val="000000" w:themeColor="text1"/>
          <w:sz w:val="28"/>
          <w:szCs w:val="28"/>
          <w:lang w:eastAsia="zh-CN"/>
          <w14:textFill>
            <w14:solidFill>
              <w14:schemeClr w14:val="tx1"/>
            </w14:solidFill>
          </w14:textFill>
        </w:rPr>
        <w:t>董京</w:t>
      </w:r>
      <w:r>
        <w:rPr>
          <w:rFonts w:hint="eastAsia" w:ascii="仿宋_GB2312" w:hAnsi="宋体" w:eastAsia="仿宋_GB2312"/>
          <w:b/>
          <w:bCs/>
          <w:color w:val="000000" w:themeColor="text1"/>
          <w:sz w:val="28"/>
          <w:szCs w:val="28"/>
          <w:lang w:val="en-US" w:eastAsia="zh-CN"/>
          <w14:textFill>
            <w14:solidFill>
              <w14:schemeClr w14:val="tx1"/>
            </w14:solidFill>
          </w14:textFill>
        </w:rPr>
        <w:t xml:space="preserve">  联系方式：15966545089</w:t>
      </w:r>
    </w:p>
    <w:p>
      <w:pPr>
        <w:numPr>
          <w:ilvl w:val="0"/>
          <w:numId w:val="1"/>
        </w:numPr>
        <w:spacing w:line="360" w:lineRule="auto"/>
        <w:ind w:right="70"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投标地点：</w:t>
      </w:r>
      <w:r>
        <w:rPr>
          <w:rFonts w:hint="eastAsia" w:ascii="宋体" w:hAnsi="宋体" w:eastAsia="宋体" w:cs="宋体"/>
          <w:b/>
          <w:bCs/>
          <w:color w:val="000000" w:themeColor="text1"/>
          <w:sz w:val="28"/>
          <w:szCs w:val="28"/>
          <w14:textFill>
            <w14:solidFill>
              <w14:schemeClr w14:val="tx1"/>
            </w14:solidFill>
          </w14:textFill>
        </w:rPr>
        <w:t>招远市国大路268号</w:t>
      </w:r>
      <w:r>
        <w:rPr>
          <w:rFonts w:hint="eastAsia" w:ascii="宋体" w:hAnsi="宋体" w:eastAsia="宋体" w:cs="宋体"/>
          <w:b/>
          <w:bCs/>
          <w:color w:val="000000" w:themeColor="text1"/>
          <w:sz w:val="28"/>
          <w:szCs w:val="28"/>
          <w:lang w:val="en-US" w:eastAsia="zh-CN"/>
          <w14:textFill>
            <w14:solidFill>
              <w14:schemeClr w14:val="tx1"/>
            </w14:solidFill>
          </w14:textFill>
        </w:rPr>
        <w:t>106室</w:t>
      </w:r>
    </w:p>
    <w:p>
      <w:pPr>
        <w:numPr>
          <w:ilvl w:val="0"/>
          <w:numId w:val="1"/>
        </w:numPr>
        <w:spacing w:line="360" w:lineRule="auto"/>
        <w:ind w:right="70"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七、邮    编：265400</w:t>
      </w:r>
    </w:p>
    <w:p>
      <w:pPr>
        <w:spacing w:line="360" w:lineRule="auto"/>
        <w:ind w:right="70" w:firstLine="562" w:firstLineChars="200"/>
        <w:rPr>
          <w:rFonts w:hint="eastAsia" w:ascii="仿宋_GB2312" w:hAnsi="宋体" w:eastAsia="仿宋_GB2312"/>
          <w:b/>
          <w:bCs/>
          <w:color w:val="000000" w:themeColor="text1"/>
          <w:sz w:val="28"/>
          <w:szCs w:val="28"/>
          <w:lang w:eastAsia="zh-CN"/>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八、投标保证金</w:t>
      </w:r>
      <w:r>
        <w:rPr>
          <w:rFonts w:hint="eastAsia" w:ascii="仿宋_GB2312" w:hAnsi="宋体" w:eastAsia="仿宋_GB2312"/>
          <w:b/>
          <w:bCs/>
          <w:color w:val="000000" w:themeColor="text1"/>
          <w:sz w:val="28"/>
          <w:szCs w:val="28"/>
          <w:lang w:eastAsia="zh-CN"/>
          <w14:textFill>
            <w14:solidFill>
              <w14:schemeClr w14:val="tx1"/>
            </w14:solidFill>
          </w14:textFill>
        </w:rPr>
        <w:t>：</w:t>
      </w:r>
      <w:r>
        <w:rPr>
          <w:rFonts w:hint="eastAsia" w:ascii="仿宋_GB2312" w:hAnsi="宋体" w:eastAsia="仿宋_GB2312"/>
          <w:b/>
          <w:bCs/>
          <w:color w:val="000000" w:themeColor="text1"/>
          <w:sz w:val="28"/>
          <w:szCs w:val="28"/>
          <w:lang w:val="en-US" w:eastAsia="zh-CN"/>
          <w14:textFill>
            <w14:solidFill>
              <w14:schemeClr w14:val="tx1"/>
            </w14:solidFill>
          </w14:textFill>
        </w:rPr>
        <w:t>3</w:t>
      </w:r>
      <w:r>
        <w:rPr>
          <w:rFonts w:hint="eastAsia" w:ascii="仿宋_GB2312" w:hAnsi="宋体" w:eastAsia="仿宋_GB2312"/>
          <w:b/>
          <w:bCs/>
          <w:color w:val="000000" w:themeColor="text1"/>
          <w:sz w:val="28"/>
          <w:szCs w:val="28"/>
          <w:highlight w:val="none"/>
          <w:lang w:val="en-US" w:eastAsia="zh-CN"/>
          <w14:textFill>
            <w14:solidFill>
              <w14:schemeClr w14:val="tx1"/>
            </w14:solidFill>
          </w14:textFill>
        </w:rPr>
        <w:t>000</w:t>
      </w:r>
      <w:r>
        <w:rPr>
          <w:rFonts w:hint="eastAsia" w:ascii="仿宋_GB2312" w:hAnsi="宋体" w:eastAsia="仿宋_GB2312"/>
          <w:b/>
          <w:bCs/>
          <w:color w:val="000000" w:themeColor="text1"/>
          <w:sz w:val="28"/>
          <w:szCs w:val="28"/>
          <w:highlight w:val="none"/>
          <w14:textFill>
            <w14:solidFill>
              <w14:schemeClr w14:val="tx1"/>
            </w14:solidFill>
          </w14:textFill>
        </w:rPr>
        <w:t>元</w:t>
      </w:r>
      <w:r>
        <w:rPr>
          <w:rFonts w:hint="eastAsia" w:ascii="仿宋_GB2312" w:hAnsi="宋体" w:eastAsia="仿宋_GB2312"/>
          <w:b/>
          <w:bCs/>
          <w:color w:val="000000" w:themeColor="text1"/>
          <w:sz w:val="28"/>
          <w:szCs w:val="28"/>
          <w:lang w:val="en-US" w:eastAsia="zh-CN"/>
          <w14:textFill>
            <w14:solidFill>
              <w14:schemeClr w14:val="tx1"/>
            </w14:solidFill>
          </w14:textFill>
        </w:rPr>
        <w:t>（在我司有欠款的可以写个说明函）</w:t>
      </w:r>
    </w:p>
    <w:p>
      <w:pPr>
        <w:spacing w:line="360" w:lineRule="auto"/>
        <w:ind w:right="70"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 xml:space="preserve">    汇款资料：</w:t>
      </w:r>
      <w:bookmarkStart w:id="0" w:name="_GoBack"/>
      <w:bookmarkEnd w:id="0"/>
    </w:p>
    <w:p>
      <w:pPr>
        <w:spacing w:line="440" w:lineRule="exact"/>
        <w:ind w:firstLine="1405" w:firstLineChars="5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单位名称：山东金宝电子股份有限公司</w:t>
      </w:r>
    </w:p>
    <w:p>
      <w:pPr>
        <w:widowControl/>
        <w:ind w:firstLine="1405" w:firstLineChars="500"/>
        <w:jc w:val="lef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帐    号：5000 6473 3510 017</w:t>
      </w:r>
    </w:p>
    <w:p>
      <w:pPr>
        <w:widowControl/>
        <w:ind w:firstLine="1405" w:firstLineChars="500"/>
        <w:jc w:val="left"/>
        <w:rPr>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b/>
          <w:bCs/>
          <w:color w:val="000000" w:themeColor="text1"/>
          <w:sz w:val="28"/>
          <w:szCs w:val="28"/>
          <w:highlight w:val="none"/>
          <w14:textFill>
            <w14:solidFill>
              <w14:schemeClr w14:val="tx1"/>
            </w14:solidFill>
          </w14:textFill>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b/>
          <w:bCs/>
          <w:color w:val="000000" w:themeColor="text1"/>
          <w:sz w:val="28"/>
          <w:szCs w:val="28"/>
          <w:highlight w:val="none"/>
          <w14:textFill>
            <w14:solidFill>
              <w14:schemeClr w14:val="tx1"/>
            </w14:solidFill>
          </w14:textFill>
        </w:rPr>
        <w:t>开标需要先进行技术投标，确定技术方案，再进行商务投标，未确定技术方案的商务投标，开标时一律作废。</w:t>
      </w:r>
    </w:p>
    <w:p>
      <w:pPr>
        <w:spacing w:line="360" w:lineRule="auto"/>
        <w:ind w:right="70" w:firstLine="562" w:firstLineChars="200"/>
        <w:rPr>
          <w:rFonts w:hint="eastAsia"/>
          <w:b/>
          <w:bCs/>
        </w:rPr>
      </w:pPr>
      <w:r>
        <w:rPr>
          <w:rFonts w:hint="eastAsia" w:ascii="仿宋_GB2312" w:hAnsi="宋体" w:eastAsia="仿宋_GB2312"/>
          <w:b/>
          <w:bCs/>
          <w:color w:val="000000" w:themeColor="text1"/>
          <w:sz w:val="28"/>
          <w:szCs w:val="28"/>
          <w:highlight w:val="none"/>
          <w14:textFill>
            <w14:solidFill>
              <w14:schemeClr w14:val="tx1"/>
            </w14:solidFill>
          </w14:textFill>
        </w:rPr>
        <w:t>技术投标需要将技术方案以邮件的形式发送到我公司技术联系人的邮箱中（联系人：</w:t>
      </w:r>
      <w:r>
        <w:rPr>
          <w:rFonts w:hint="eastAsia" w:ascii="宋体" w:hAnsi="宋体" w:cs="宋体"/>
          <w:b/>
          <w:bCs/>
          <w:sz w:val="28"/>
          <w:szCs w:val="28"/>
          <w:lang w:eastAsia="zh-CN"/>
        </w:rPr>
        <w:t>王世岐、尹瑞权</w:t>
      </w:r>
      <w:r>
        <w:rPr>
          <w:rFonts w:hint="eastAsia" w:ascii="仿宋_GB2312" w:hAnsi="宋体" w:eastAsia="仿宋_GB2312"/>
          <w:b/>
          <w:bCs/>
          <w:color w:val="000000" w:themeColor="text1"/>
          <w:sz w:val="28"/>
          <w:szCs w:val="28"/>
          <w:highlight w:val="none"/>
          <w14:textFill>
            <w14:solidFill>
              <w14:schemeClr w14:val="tx1"/>
            </w14:solidFill>
          </w14:textFill>
        </w:rPr>
        <w:t>）；商务投标可以将标书邮寄或直接送达商务投标地点（联系人：</w:t>
      </w:r>
      <w:r>
        <w:rPr>
          <w:rFonts w:hint="eastAsia" w:ascii="仿宋_GB2312" w:hAnsi="宋体" w:eastAsia="仿宋_GB2312"/>
          <w:b/>
          <w:bCs/>
          <w:color w:val="000000" w:themeColor="text1"/>
          <w:sz w:val="28"/>
          <w:szCs w:val="28"/>
          <w:highlight w:val="none"/>
          <w:lang w:eastAsia="zh-CN"/>
          <w14:textFill>
            <w14:solidFill>
              <w14:schemeClr w14:val="tx1"/>
            </w14:solidFill>
          </w14:textFill>
        </w:rPr>
        <w:t>董京</w:t>
      </w:r>
      <w:r>
        <w:rPr>
          <w:rFonts w:hint="eastAsia" w:ascii="仿宋_GB2312" w:hAnsi="宋体" w:eastAsia="仿宋_GB2312"/>
          <w:b/>
          <w:bCs/>
          <w:color w:val="000000" w:themeColor="text1"/>
          <w:sz w:val="28"/>
          <w:szCs w:val="28"/>
          <w:highlight w:val="none"/>
          <w14:textFill>
            <w14:solidFill>
              <w14:schemeClr w14:val="tx1"/>
            </w14:solidFill>
          </w14:textFill>
        </w:rPr>
        <w:t>），标书务必要密封。</w:t>
      </w:r>
      <w:r>
        <w:rPr>
          <w:rFonts w:hint="eastAsia" w:ascii="宋体" w:hAnsi="宋体" w:eastAsia="宋体" w:cs="宋体"/>
          <w:b/>
          <w:bCs/>
          <w:color w:val="auto"/>
          <w:sz w:val="28"/>
          <w:szCs w:val="28"/>
          <w:highlight w:val="none"/>
          <w:lang w:eastAsia="zh-CN"/>
        </w:rPr>
        <w:t>同时投标文件电子版要以</w:t>
      </w:r>
      <w:r>
        <w:rPr>
          <w:rFonts w:hint="eastAsia" w:ascii="宋体" w:hAnsi="宋体" w:eastAsia="宋体" w:cs="宋体"/>
          <w:b/>
          <w:bCs/>
          <w:color w:val="auto"/>
          <w:sz w:val="28"/>
          <w:szCs w:val="28"/>
          <w:highlight w:val="none"/>
        </w:rPr>
        <w:t>邮件发送到邮箱中：lwenling@chinajinbao.com同时抄送在sdjbzb@163.com</w:t>
      </w:r>
    </w:p>
    <w:p>
      <w:pPr>
        <w:spacing w:line="360" w:lineRule="auto"/>
        <w:ind w:right="70" w:firstLine="562" w:firstLineChars="20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firstLine="562" w:firstLineChars="20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firstLine="562" w:firstLineChars="20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firstLine="562" w:firstLineChars="20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jc w:val="center"/>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jc w:val="center"/>
        <w:rPr>
          <w:rFonts w:ascii="仿宋_GB2312" w:hAnsi="宋体" w:eastAsia="仿宋_GB2312"/>
          <w:b/>
          <w:bCs/>
          <w:color w:val="000000" w:themeColor="text1"/>
          <w:sz w:val="28"/>
          <w:szCs w:val="28"/>
          <w:highlight w:val="none"/>
          <w14:textFill>
            <w14:solidFill>
              <w14:schemeClr w14:val="tx1"/>
            </w14:solidFill>
          </w14:textFill>
        </w:rPr>
      </w:pPr>
    </w:p>
    <w:p>
      <w:pPr>
        <w:spacing w:line="360" w:lineRule="auto"/>
        <w:ind w:right="70"/>
        <w:jc w:val="center"/>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b/>
          <w:bCs/>
          <w:color w:val="000000" w:themeColor="text1"/>
          <w:sz w:val="28"/>
          <w:szCs w:val="28"/>
          <w:highlight w:val="none"/>
          <w14:textFill>
            <w14:solidFill>
              <w14:schemeClr w14:val="tx1"/>
            </w14:solidFill>
          </w14:textFill>
        </w:rPr>
        <w:t>第一部分   投标须知</w:t>
      </w:r>
    </w:p>
    <w:p>
      <w:pPr>
        <w:numPr>
          <w:ilvl w:val="0"/>
          <w:numId w:val="2"/>
        </w:num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b/>
          <w:bCs/>
          <w:color w:val="000000" w:themeColor="text1"/>
          <w:sz w:val="28"/>
          <w:szCs w:val="28"/>
          <w:highlight w:val="none"/>
          <w14:textFill>
            <w14:solidFill>
              <w14:schemeClr w14:val="tx1"/>
            </w14:solidFill>
          </w14:textFill>
        </w:rPr>
        <w:t>投标要求</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4、在参与本次招标过程中出现以下情况或行为，将取消其投标资格且不予返还投标保证金：</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①采取弄虚作假的方式，提供虚假的信息或资料；</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②存在不正当竞争，如：串标、陪标现象；</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③</w:t>
      </w:r>
      <w:r>
        <w:rPr>
          <w:rFonts w:hint="eastAsia" w:ascii="仿宋_GB2312" w:hAnsi="宋体" w:eastAsia="仿宋_GB2312"/>
          <w:color w:val="000000" w:themeColor="text1"/>
          <w:sz w:val="28"/>
          <w:szCs w:val="28"/>
          <w:highlight w:val="none"/>
          <w14:textFill>
            <w14:solidFill>
              <w14:schemeClr w14:val="tx1"/>
            </w14:solidFill>
          </w14:textFill>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b/>
          <w:bCs/>
          <w:color w:val="000000" w:themeColor="text1"/>
          <w:sz w:val="28"/>
          <w:szCs w:val="28"/>
          <w:highlight w:val="none"/>
          <w14:textFill>
            <w14:solidFill>
              <w14:schemeClr w14:val="tx1"/>
            </w14:solidFill>
          </w14:textFill>
        </w:rPr>
        <w:t>投标无效</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有以下情形的投标文件，视为无效：</w:t>
      </w:r>
    </w:p>
    <w:p>
      <w:pPr>
        <w:numPr>
          <w:ilvl w:val="0"/>
          <w:numId w:val="3"/>
        </w:num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逾期未送达投标文件的；</w:t>
      </w:r>
    </w:p>
    <w:p>
      <w:pPr>
        <w:numPr>
          <w:ilvl w:val="0"/>
          <w:numId w:val="3"/>
        </w:num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未按规定递交密封投标文件的；</w:t>
      </w:r>
    </w:p>
    <w:p>
      <w:pPr>
        <w:numPr>
          <w:ilvl w:val="0"/>
          <w:numId w:val="3"/>
        </w:num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投标文件的编制、内容与招标文件存在明显差异或不符的；</w:t>
      </w:r>
    </w:p>
    <w:p>
      <w:pPr>
        <w:numPr>
          <w:ilvl w:val="0"/>
          <w:numId w:val="3"/>
        </w:num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未加盖公章或无授权委托书的；</w:t>
      </w: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b/>
          <w:bCs/>
          <w:color w:val="000000" w:themeColor="text1"/>
          <w:sz w:val="28"/>
          <w:szCs w:val="28"/>
          <w:highlight w:val="none"/>
          <w14:textFill>
            <w14:solidFill>
              <w14:schemeClr w14:val="tx1"/>
            </w14:solidFill>
          </w14:textFill>
        </w:rPr>
        <w:t>三、投标文件的构成</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1、资质文件；</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①营业执照</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②授权委托书</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③企业资质及行业认证文件资料</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④产品专利</w:t>
      </w:r>
    </w:p>
    <w:p>
      <w:pPr>
        <w:numPr>
          <w:ilvl w:val="0"/>
          <w:numId w:val="4"/>
        </w:num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项目</w:t>
      </w:r>
      <w:r>
        <w:rPr>
          <w:rFonts w:hint="eastAsia" w:ascii="仿宋_GB2312" w:hAnsi="宋体" w:eastAsia="仿宋_GB2312"/>
          <w:b/>
          <w:color w:val="000000" w:themeColor="text1"/>
          <w:sz w:val="28"/>
          <w:szCs w:val="28"/>
          <w:highlight w:val="none"/>
          <w14:textFill>
            <w14:solidFill>
              <w14:schemeClr w14:val="tx1"/>
            </w14:solidFill>
          </w14:textFill>
        </w:rPr>
        <w:t>实施案例</w:t>
      </w:r>
      <w:r>
        <w:rPr>
          <w:rFonts w:hint="eastAsia" w:ascii="仿宋_GB2312" w:hAnsi="宋体" w:eastAsia="仿宋_GB2312"/>
          <w:color w:val="000000" w:themeColor="text1"/>
          <w:sz w:val="28"/>
          <w:szCs w:val="28"/>
          <w:highlight w:val="none"/>
          <w14:textFill>
            <w14:solidFill>
              <w14:schemeClr w14:val="tx1"/>
            </w14:solidFill>
          </w14:textFill>
        </w:rPr>
        <w:t>及相关资料；</w:t>
      </w:r>
    </w:p>
    <w:p>
      <w:pPr>
        <w:numPr>
          <w:ilvl w:val="0"/>
          <w:numId w:val="4"/>
        </w:num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项目方案</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①设备设施配置、清单及详细资料</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②《项目解决方案及服务内容》</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③项目设计及实施方案</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④项目实施进度计划及人员安排</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⑤售后服务方案</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⑥应急预案</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4、报价</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提交《项目设备配置报价》，包括但不限于品牌、规格、数量或工程量、单价、材质、增值税税费等。</w:t>
      </w:r>
    </w:p>
    <w:p>
      <w:pPr>
        <w:spacing w:line="360" w:lineRule="auto"/>
        <w:ind w:left="642"/>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5、标书要求</w:t>
      </w:r>
    </w:p>
    <w:p>
      <w:pPr>
        <w:spacing w:line="360" w:lineRule="auto"/>
        <w:ind w:left="642"/>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本招标项目要求投标者根据上述要求，将有关资料整理做成</w:t>
      </w:r>
    </w:p>
    <w:p>
      <w:pPr>
        <w:spacing w:line="360" w:lineRule="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标书，标</w:t>
      </w:r>
      <w:r>
        <w:rPr>
          <w:rFonts w:hint="eastAsia" w:ascii="仿宋_GB2312" w:hAnsi="华文细黑" w:eastAsia="仿宋_GB2312"/>
          <w:color w:val="000000" w:themeColor="text1"/>
          <w:sz w:val="28"/>
          <w:szCs w:val="28"/>
          <w:highlight w:val="none"/>
          <w14:textFill>
            <w14:solidFill>
              <w14:schemeClr w14:val="tx1"/>
            </w14:solidFill>
          </w14:textFill>
        </w:rPr>
        <w:t>书要求一正一副</w:t>
      </w:r>
      <w:r>
        <w:rPr>
          <w:rFonts w:hint="eastAsia" w:ascii="仿宋_GB2312" w:eastAsia="仿宋_GB2312"/>
          <w:color w:val="000000" w:themeColor="text1"/>
          <w:sz w:val="28"/>
          <w:szCs w:val="28"/>
          <w:highlight w:val="none"/>
          <w14:textFill>
            <w14:solidFill>
              <w14:schemeClr w14:val="tx1"/>
            </w14:solidFill>
          </w14:textFill>
        </w:rPr>
        <w:t>。</w:t>
      </w:r>
    </w:p>
    <w:p>
      <w:pPr>
        <w:spacing w:line="360" w:lineRule="auto"/>
        <w:ind w:right="70"/>
        <w:rPr>
          <w:rFonts w:ascii="仿宋_GB2312" w:hAnsi="宋体" w:eastAsia="仿宋_GB2312"/>
          <w:b/>
          <w:bCs/>
          <w:color w:val="000000" w:themeColor="text1"/>
          <w:sz w:val="28"/>
          <w:szCs w:val="28"/>
          <w:highlight w:val="none"/>
          <w14:textFill>
            <w14:solidFill>
              <w14:schemeClr w14:val="tx1"/>
            </w14:solidFill>
          </w14:textFill>
        </w:rPr>
      </w:pPr>
      <w:r>
        <w:rPr>
          <w:rFonts w:hint="eastAsia" w:ascii="仿宋_GB2312" w:hAnsi="宋体" w:eastAsia="仿宋_GB2312"/>
          <w:b/>
          <w:bCs/>
          <w:color w:val="000000" w:themeColor="text1"/>
          <w:sz w:val="28"/>
          <w:szCs w:val="28"/>
          <w:highlight w:val="none"/>
          <w14:textFill>
            <w14:solidFill>
              <w14:schemeClr w14:val="tx1"/>
            </w14:solidFill>
          </w14:textFill>
        </w:rPr>
        <w:t>四、保密</w:t>
      </w:r>
    </w:p>
    <w:p>
      <w:pPr>
        <w:spacing w:line="360" w:lineRule="auto"/>
        <w:ind w:right="70" w:firstLine="642"/>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 xml:space="preserve">   </w:t>
      </w:r>
    </w:p>
    <w:p>
      <w:pPr>
        <w:spacing w:line="360" w:lineRule="auto"/>
        <w:ind w:right="7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2.1、①到货验收合格付款90%；②质保金10%（一年后付清）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rPr>
        <w:t>10个</w:t>
      </w:r>
      <w:r>
        <w:rPr>
          <w:rFonts w:ascii="仿宋_GB2312" w:hAnsi="宋体" w:eastAsia="仿宋_GB2312"/>
          <w:sz w:val="28"/>
          <w:szCs w:val="28"/>
        </w:rPr>
        <w:t>日历日</w:t>
      </w:r>
      <w:r>
        <w:rPr>
          <w:rFonts w:hint="eastAsia" w:ascii="仿宋_GB2312" w:hAnsi="宋体" w:eastAsia="仿宋_GB2312"/>
          <w:sz w:val="28"/>
          <w:szCs w:val="28"/>
        </w:rPr>
        <w:t>发货。</w:t>
      </w:r>
    </w:p>
    <w:p>
      <w:pPr>
        <w:pStyle w:val="13"/>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2、交货地点：铜箔天府路厂。</w:t>
      </w:r>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3"/>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9213"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2268"/>
        <w:gridCol w:w="993"/>
        <w:gridCol w:w="992"/>
        <w:gridCol w:w="850"/>
        <w:gridCol w:w="709"/>
        <w:gridCol w:w="709"/>
        <w:gridCol w:w="19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26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 号</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850"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数量</w:t>
            </w:r>
          </w:p>
        </w:tc>
        <w:tc>
          <w:tcPr>
            <w:tcW w:w="709"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单价</w:t>
            </w:r>
          </w:p>
        </w:tc>
        <w:tc>
          <w:tcPr>
            <w:tcW w:w="709" w:type="dxa"/>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总价</w:t>
            </w:r>
          </w:p>
        </w:tc>
        <w:tc>
          <w:tcPr>
            <w:tcW w:w="1984"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6" w:hRule="atLeast"/>
        </w:trPr>
        <w:tc>
          <w:tcPr>
            <w:tcW w:w="708"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268"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b/>
                <w:bCs/>
                <w:sz w:val="24"/>
              </w:rPr>
              <w:t>不锈钢</w:t>
            </w:r>
            <w:r>
              <w:rPr>
                <w:rFonts w:ascii="仿宋_GB2312" w:hAnsi="仿宋_GB2312" w:eastAsia="仿宋_GB2312" w:cs="仿宋_GB2312"/>
                <w:b/>
                <w:bCs/>
                <w:sz w:val="24"/>
              </w:rPr>
              <w:t>板式换热器</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台</w:t>
            </w:r>
          </w:p>
        </w:tc>
        <w:tc>
          <w:tcPr>
            <w:tcW w:w="850" w:type="dxa"/>
            <w:vAlign w:val="center"/>
          </w:tcPr>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09" w:type="dxa"/>
            <w:vAlign w:val="center"/>
          </w:tcPr>
          <w:p>
            <w:pPr>
              <w:spacing w:line="520" w:lineRule="exact"/>
              <w:jc w:val="center"/>
              <w:rPr>
                <w:rFonts w:ascii="仿宋_GB2312" w:hAnsi="仿宋_GB2312" w:eastAsia="仿宋_GB2312" w:cs="仿宋_GB2312"/>
                <w:sz w:val="24"/>
              </w:rPr>
            </w:pPr>
          </w:p>
        </w:tc>
        <w:tc>
          <w:tcPr>
            <w:tcW w:w="709" w:type="dxa"/>
            <w:vAlign w:val="center"/>
          </w:tcPr>
          <w:p>
            <w:pPr>
              <w:spacing w:line="520" w:lineRule="exact"/>
              <w:jc w:val="center"/>
              <w:rPr>
                <w:rFonts w:ascii="仿宋_GB2312" w:hAnsi="仿宋_GB2312" w:eastAsia="仿宋_GB2312" w:cs="仿宋_GB2312"/>
                <w:sz w:val="24"/>
              </w:rPr>
            </w:pPr>
          </w:p>
        </w:tc>
        <w:tc>
          <w:tcPr>
            <w:tcW w:w="1984" w:type="dxa"/>
            <w:tcMar>
              <w:top w:w="0" w:type="dxa"/>
              <w:left w:w="108" w:type="dxa"/>
              <w:bottom w:w="0" w:type="dxa"/>
              <w:right w:w="108" w:type="dxa"/>
            </w:tcMar>
          </w:tcPr>
          <w:p>
            <w:pPr>
              <w:spacing w:line="520" w:lineRule="exact"/>
              <w:rPr>
                <w:rFonts w:ascii="仿宋_GB2312" w:hAnsi="仿宋_GB2312" w:eastAsia="仿宋_GB2312" w:cs="仿宋_GB2312"/>
                <w:sz w:val="24"/>
              </w:rPr>
            </w:pPr>
            <w:r>
              <w:rPr>
                <w:rFonts w:ascii="仿宋_GB2312" w:hAnsi="仿宋_GB2312" w:eastAsia="仿宋_GB2312" w:cs="仿宋_GB2312"/>
                <w:sz w:val="24"/>
              </w:rPr>
              <w:t>材质</w:t>
            </w:r>
            <w:r>
              <w:rPr>
                <w:rFonts w:hint="eastAsia" w:ascii="仿宋_GB2312" w:hAnsi="仿宋_GB2312" w:eastAsia="仿宋_GB2312" w:cs="仿宋_GB2312"/>
                <w:sz w:val="24"/>
              </w:rPr>
              <w:t>:304</w:t>
            </w:r>
          </w:p>
        </w:tc>
      </w:tr>
    </w:tbl>
    <w:p>
      <w:pPr>
        <w:pStyle w:val="13"/>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技术要求： </w:t>
      </w:r>
      <w:r>
        <w:rPr>
          <w:rFonts w:ascii="仿宋_GB2312" w:hAnsi="仿宋_GB2312" w:eastAsia="仿宋_GB2312" w:cs="仿宋_GB2312"/>
          <w:sz w:val="28"/>
          <w:szCs w:val="32"/>
        </w:rPr>
        <w:t xml:space="preserve"> </w:t>
      </w:r>
      <w:r>
        <w:rPr>
          <w:rFonts w:hint="eastAsia" w:cs="宋体"/>
          <w:sz w:val="28"/>
          <w:szCs w:val="28"/>
        </w:rPr>
        <w:t>依据招标方要求制作。</w:t>
      </w:r>
    </w:p>
    <w:p>
      <w:pPr>
        <w:widowControl/>
        <w:ind w:left="720"/>
        <w:rPr>
          <w:rFonts w:ascii="仿宋_GB2312" w:hAnsi="仿宋_GB2312" w:eastAsia="仿宋_GB2312" w:cs="仿宋_GB2312"/>
          <w:sz w:val="28"/>
          <w:szCs w:val="32"/>
        </w:rPr>
      </w:pPr>
      <w:r>
        <w:rPr>
          <w:rFonts w:hint="eastAsia" w:cs="宋体"/>
          <w:sz w:val="28"/>
          <w:szCs w:val="28"/>
        </w:rPr>
        <w:t>1.技术参数：</w:t>
      </w:r>
      <w:r>
        <w:rPr>
          <w:rFonts w:hint="eastAsia" w:ascii="仿宋_GB2312" w:hAnsi="仿宋_GB2312" w:eastAsia="仿宋_GB2312" w:cs="仿宋_GB2312"/>
          <w:sz w:val="28"/>
          <w:szCs w:val="32"/>
        </w:rPr>
        <w:t>流量: 30m3/h; 换热面积: 20</w:t>
      </w:r>
      <w:r>
        <w:rPr>
          <w:rFonts w:hint="eastAsia" w:ascii="仿宋_GB2312" w:hAnsi="仿宋_GB2312" w:eastAsia="仿宋_GB2312" w:cs="仿宋_GB2312"/>
          <w:sz w:val="28"/>
          <w:szCs w:val="32"/>
          <w:lang w:eastAsia="zh-CN"/>
        </w:rPr>
        <w:t>㎡</w:t>
      </w:r>
      <w:r>
        <w:rPr>
          <w:rFonts w:hint="eastAsia" w:ascii="仿宋_GB2312" w:hAnsi="仿宋_GB2312" w:eastAsia="仿宋_GB2312" w:cs="仿宋_GB2312"/>
          <w:sz w:val="28"/>
          <w:szCs w:val="32"/>
        </w:rPr>
        <w:t xml:space="preserve">  口径 ;DN80 ；压力;PN16</w:t>
      </w:r>
    </w:p>
    <w:p>
      <w:pPr>
        <w:pStyle w:val="13"/>
        <w:ind w:left="720" w:firstLine="0"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2.</w:t>
      </w:r>
      <w:r>
        <w:rPr>
          <w:rFonts w:hint="eastAsia"/>
        </w:rPr>
        <w:t xml:space="preserve"> </w:t>
      </w:r>
      <w:r>
        <w:rPr>
          <w:rFonts w:hint="eastAsia" w:ascii="仿宋_GB2312" w:hAnsi="仿宋_GB2312" w:eastAsia="仿宋_GB2312" w:cs="仿宋_GB2312"/>
          <w:sz w:val="28"/>
          <w:szCs w:val="32"/>
        </w:rPr>
        <w:t>招标方采购的板式换热器采用等截面可拆卸板式换热器（水-水），投标方所提供的板式热交换器必须符合国家相关标准、规范要求，具备生产销售该类产品和进行有效售后服务的资格；</w:t>
      </w:r>
    </w:p>
    <w:p>
      <w:pPr>
        <w:pStyle w:val="13"/>
        <w:ind w:left="720" w:firstLine="0"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3.板式换热器外部、内部保证不泄漏，介质与水禁止混流；</w:t>
      </w:r>
    </w:p>
    <w:p>
      <w:pPr>
        <w:pStyle w:val="13"/>
        <w:ind w:left="720" w:firstLine="0"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3.板式换热器的运输、装卸车、吊装所需的工具等费用均由投标方负责；</w:t>
      </w:r>
    </w:p>
    <w:p>
      <w:pPr>
        <w:ind w:firstLine="700" w:firstLineChars="250"/>
        <w:rPr>
          <w:rFonts w:ascii="仿宋_GB2312" w:hAnsi="仿宋_GB2312" w:eastAsia="仿宋_GB2312" w:cs="仿宋_GB2312"/>
          <w:sz w:val="28"/>
          <w:szCs w:val="32"/>
        </w:rPr>
      </w:pPr>
      <w:r>
        <w:rPr>
          <w:rFonts w:hint="eastAsia" w:ascii="仿宋_GB2312" w:hAnsi="仿宋_GB2312" w:eastAsia="仿宋_GB2312" w:cs="仿宋_GB2312"/>
          <w:sz w:val="28"/>
          <w:szCs w:val="32"/>
        </w:rPr>
        <w:t>4.质保期1年；</w:t>
      </w:r>
    </w:p>
    <w:p>
      <w:pPr>
        <w:pStyle w:val="13"/>
        <w:spacing w:line="360" w:lineRule="auto"/>
        <w:ind w:left="720" w:firstLine="0"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附：随机工具、易损件备件、操作手册、产品说明书、合格证等文本资料;</w:t>
      </w:r>
    </w:p>
    <w:p>
      <w:pPr>
        <w:spacing w:line="360" w:lineRule="auto"/>
        <w:ind w:firstLine="560" w:firstLineChars="200"/>
        <w:rPr>
          <w:rFonts w:cs="宋体"/>
          <w:sz w:val="28"/>
          <w:szCs w:val="28"/>
        </w:rPr>
      </w:pPr>
      <w:r>
        <w:rPr>
          <w:rFonts w:hint="eastAsia" w:cs="宋体"/>
          <w:sz w:val="28"/>
          <w:szCs w:val="28"/>
        </w:rPr>
        <w:t>5.本次招标采购标的，运输、卸车、吊装、搬运、拆卸及所需的工具等费用均由投标方负责；</w:t>
      </w:r>
    </w:p>
    <w:p>
      <w:pPr>
        <w:ind w:firstLine="723" w:firstLineChars="200"/>
        <w:rPr>
          <w:rFonts w:ascii="仿宋_GB2312" w:hAnsi="仿宋_GB2312" w:eastAsia="仿宋_GB2312" w:cs="仿宋_GB2312"/>
          <w:b/>
          <w:color w:val="FF0000"/>
          <w:sz w:val="36"/>
          <w:szCs w:val="36"/>
        </w:rPr>
      </w:pPr>
      <w:r>
        <w:rPr>
          <w:rFonts w:hint="eastAsia" w:ascii="仿宋_GB2312" w:hAnsi="仿宋_GB2312" w:eastAsia="仿宋_GB2312" w:cs="仿宋_GB2312"/>
          <w:b/>
          <w:color w:val="FF0000"/>
          <w:sz w:val="36"/>
          <w:szCs w:val="36"/>
        </w:rPr>
        <w:t>注：以上技术指标建议投标方</w:t>
      </w:r>
      <w:r>
        <w:rPr>
          <w:rFonts w:hint="eastAsia" w:ascii="仿宋_GB2312" w:hAnsi="仿宋_GB2312" w:eastAsia="仿宋_GB2312" w:cs="仿宋_GB2312"/>
          <w:b/>
          <w:color w:val="FF0000"/>
          <w:sz w:val="36"/>
          <w:szCs w:val="36"/>
          <w:highlight w:val="none"/>
        </w:rPr>
        <w:t>到铜箔天府路厂现场</w:t>
      </w:r>
      <w:r>
        <w:rPr>
          <w:rFonts w:hint="eastAsia" w:ascii="仿宋_GB2312" w:hAnsi="仿宋_GB2312" w:eastAsia="仿宋_GB2312" w:cs="仿宋_GB2312"/>
          <w:b/>
          <w:color w:val="FF0000"/>
          <w:sz w:val="36"/>
          <w:szCs w:val="36"/>
        </w:rPr>
        <w:t>进一步落实技术参数后进行投标。</w:t>
      </w:r>
      <w:r>
        <w:rPr>
          <w:rFonts w:ascii="仿宋_GB2312" w:hAnsi="仿宋_GB2312" w:eastAsia="仿宋_GB2312" w:cs="仿宋_GB2312"/>
          <w:b/>
          <w:color w:val="FF0000"/>
          <w:sz w:val="36"/>
          <w:szCs w:val="36"/>
        </w:rPr>
        <w:t xml:space="preserve"> </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三、违约责任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未按照合同约定履行义务或供货未达到招标方要求，除前款已有约定外，中标方还应按合同总值的20%向招标方支付违约金，并赔偿由此给招标方造成的全部损失，招标方有权自应付款中直接扣除，不足部分中标方仍须赔偿，且招标方有权解除合同，而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_GB2312" w:hAnsi="仿宋_GB2312" w:eastAsia="仿宋_GB2312" w:cs="仿宋_GB2312"/>
          <w:sz w:val="28"/>
          <w:szCs w:val="32"/>
        </w:rPr>
      </w:pPr>
    </w:p>
    <w:p>
      <w:pPr>
        <w:spacing w:line="360" w:lineRule="auto"/>
        <w:rPr>
          <w:rFonts w:ascii="仿宋_GB2312" w:hAnsi="仿宋_GB2312" w:eastAsia="仿宋_GB2312" w:cs="仿宋_GB2312"/>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b/>
        <w:bCs/>
      </w:r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abstractNum w:abstractNumId="4">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70820"/>
    <w:rsid w:val="000140A9"/>
    <w:rsid w:val="000250DB"/>
    <w:rsid w:val="0002639C"/>
    <w:rsid w:val="00036F46"/>
    <w:rsid w:val="00084751"/>
    <w:rsid w:val="000A04FB"/>
    <w:rsid w:val="000F2FB0"/>
    <w:rsid w:val="00117EE8"/>
    <w:rsid w:val="001217FC"/>
    <w:rsid w:val="0013572F"/>
    <w:rsid w:val="00137056"/>
    <w:rsid w:val="00153B2F"/>
    <w:rsid w:val="001815FF"/>
    <w:rsid w:val="001D0E12"/>
    <w:rsid w:val="00242018"/>
    <w:rsid w:val="002427B8"/>
    <w:rsid w:val="0031742A"/>
    <w:rsid w:val="00351C58"/>
    <w:rsid w:val="00385165"/>
    <w:rsid w:val="003F09B9"/>
    <w:rsid w:val="00415C06"/>
    <w:rsid w:val="00434F86"/>
    <w:rsid w:val="00446AA9"/>
    <w:rsid w:val="00447816"/>
    <w:rsid w:val="0048716E"/>
    <w:rsid w:val="00496BF6"/>
    <w:rsid w:val="004C1FC6"/>
    <w:rsid w:val="004F2EB8"/>
    <w:rsid w:val="00543389"/>
    <w:rsid w:val="00544194"/>
    <w:rsid w:val="005B5E50"/>
    <w:rsid w:val="005D1CFE"/>
    <w:rsid w:val="005E6B4B"/>
    <w:rsid w:val="00670B15"/>
    <w:rsid w:val="006A6992"/>
    <w:rsid w:val="006D6272"/>
    <w:rsid w:val="007106C3"/>
    <w:rsid w:val="007171D2"/>
    <w:rsid w:val="00746246"/>
    <w:rsid w:val="007576FD"/>
    <w:rsid w:val="007A0599"/>
    <w:rsid w:val="007C5761"/>
    <w:rsid w:val="00810526"/>
    <w:rsid w:val="0081621E"/>
    <w:rsid w:val="008269DC"/>
    <w:rsid w:val="00832C08"/>
    <w:rsid w:val="00877824"/>
    <w:rsid w:val="00894F8F"/>
    <w:rsid w:val="008D3CEE"/>
    <w:rsid w:val="00912E27"/>
    <w:rsid w:val="00924D21"/>
    <w:rsid w:val="0095248A"/>
    <w:rsid w:val="00963A40"/>
    <w:rsid w:val="009650B7"/>
    <w:rsid w:val="009D5B70"/>
    <w:rsid w:val="009E1A4D"/>
    <w:rsid w:val="00A37EC4"/>
    <w:rsid w:val="00A6047A"/>
    <w:rsid w:val="00A74DBB"/>
    <w:rsid w:val="00A87C26"/>
    <w:rsid w:val="00B02199"/>
    <w:rsid w:val="00B02A04"/>
    <w:rsid w:val="00B142FC"/>
    <w:rsid w:val="00B15EB1"/>
    <w:rsid w:val="00B37251"/>
    <w:rsid w:val="00B637ED"/>
    <w:rsid w:val="00B75E47"/>
    <w:rsid w:val="00B858A1"/>
    <w:rsid w:val="00BE2C08"/>
    <w:rsid w:val="00C327A2"/>
    <w:rsid w:val="00C354EF"/>
    <w:rsid w:val="00C756C1"/>
    <w:rsid w:val="00CA062E"/>
    <w:rsid w:val="00D16376"/>
    <w:rsid w:val="00D3366E"/>
    <w:rsid w:val="00D813B1"/>
    <w:rsid w:val="00DE7334"/>
    <w:rsid w:val="00E108FE"/>
    <w:rsid w:val="00E15EAC"/>
    <w:rsid w:val="00E225CA"/>
    <w:rsid w:val="00E44C80"/>
    <w:rsid w:val="00E602BD"/>
    <w:rsid w:val="00E7566F"/>
    <w:rsid w:val="00E80FFB"/>
    <w:rsid w:val="00F04AE1"/>
    <w:rsid w:val="00F1223D"/>
    <w:rsid w:val="00F20309"/>
    <w:rsid w:val="00F9392B"/>
    <w:rsid w:val="00F94F76"/>
    <w:rsid w:val="00FD03BA"/>
    <w:rsid w:val="00FF037C"/>
    <w:rsid w:val="00FF5E3A"/>
    <w:rsid w:val="02F44726"/>
    <w:rsid w:val="048C419F"/>
    <w:rsid w:val="052F7BE9"/>
    <w:rsid w:val="07E354E8"/>
    <w:rsid w:val="098B184A"/>
    <w:rsid w:val="0DB77E27"/>
    <w:rsid w:val="107E1436"/>
    <w:rsid w:val="107F16C6"/>
    <w:rsid w:val="14D70820"/>
    <w:rsid w:val="18AB3EEC"/>
    <w:rsid w:val="190C6619"/>
    <w:rsid w:val="199D333E"/>
    <w:rsid w:val="1E0848A5"/>
    <w:rsid w:val="1E3F18D8"/>
    <w:rsid w:val="1F456344"/>
    <w:rsid w:val="219A24C7"/>
    <w:rsid w:val="233D6EE4"/>
    <w:rsid w:val="23557DEB"/>
    <w:rsid w:val="24231D8E"/>
    <w:rsid w:val="24360A08"/>
    <w:rsid w:val="25915A0E"/>
    <w:rsid w:val="261A4D4C"/>
    <w:rsid w:val="27A527BF"/>
    <w:rsid w:val="27C33CA0"/>
    <w:rsid w:val="2A6A5A19"/>
    <w:rsid w:val="2B5108D7"/>
    <w:rsid w:val="2B7C2FDF"/>
    <w:rsid w:val="2BE66046"/>
    <w:rsid w:val="2E6D47B6"/>
    <w:rsid w:val="2EFB6735"/>
    <w:rsid w:val="305220E0"/>
    <w:rsid w:val="31B30842"/>
    <w:rsid w:val="3202624E"/>
    <w:rsid w:val="34377F50"/>
    <w:rsid w:val="380F4B6A"/>
    <w:rsid w:val="3E25152A"/>
    <w:rsid w:val="3FFA719D"/>
    <w:rsid w:val="403445E0"/>
    <w:rsid w:val="406C535E"/>
    <w:rsid w:val="45011451"/>
    <w:rsid w:val="49586F36"/>
    <w:rsid w:val="4AC23C30"/>
    <w:rsid w:val="4CA95EBA"/>
    <w:rsid w:val="4DFC6236"/>
    <w:rsid w:val="4F8419AD"/>
    <w:rsid w:val="51AD6F01"/>
    <w:rsid w:val="52363323"/>
    <w:rsid w:val="52D954E2"/>
    <w:rsid w:val="538B5D6C"/>
    <w:rsid w:val="546759DA"/>
    <w:rsid w:val="547C4E2A"/>
    <w:rsid w:val="54C67B58"/>
    <w:rsid w:val="5D054434"/>
    <w:rsid w:val="5EA87FAD"/>
    <w:rsid w:val="636546D8"/>
    <w:rsid w:val="64AB558A"/>
    <w:rsid w:val="6A93015D"/>
    <w:rsid w:val="6DC2661B"/>
    <w:rsid w:val="712C5A62"/>
    <w:rsid w:val="7452317D"/>
    <w:rsid w:val="753D7DC7"/>
    <w:rsid w:val="75936E93"/>
    <w:rsid w:val="760A5128"/>
    <w:rsid w:val="7F07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3">
    <w:name w:val="envelope return"/>
    <w:basedOn w:val="1"/>
    <w:qFormat/>
    <w:uiPriority w:val="0"/>
    <w:pPr>
      <w:snapToGrid w:val="0"/>
    </w:pPr>
    <w:rPr>
      <w:rFonts w:ascii="Arial" w:hAnsi="Arial"/>
    </w:rPr>
  </w:style>
  <w:style w:type="paragraph" w:styleId="4">
    <w:name w:val="Balloon Text"/>
    <w:basedOn w:val="1"/>
    <w:link w:val="14"/>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8">
    <w:name w:val="Body Text First Indent 2"/>
    <w:basedOn w:val="2"/>
    <w:next w:val="1"/>
    <w:qFormat/>
    <w:uiPriority w:val="0"/>
    <w:pPr>
      <w:tabs>
        <w:tab w:val="left" w:pos="930"/>
      </w:tabs>
      <w:ind w:firstLine="420" w:firstLineChars="200"/>
    </w:pPr>
    <w:rPr>
      <w:szCs w:val="24"/>
    </w:rPr>
  </w:style>
  <w:style w:type="character" w:customStyle="1" w:styleId="11">
    <w:name w:val="页眉 Char"/>
    <w:basedOn w:val="10"/>
    <w:link w:val="6"/>
    <w:qFormat/>
    <w:uiPriority w:val="0"/>
    <w:rPr>
      <w:rFonts w:eastAsia="宋体"/>
      <w:kern w:val="2"/>
      <w:sz w:val="18"/>
      <w:szCs w:val="18"/>
    </w:rPr>
  </w:style>
  <w:style w:type="character" w:customStyle="1" w:styleId="12">
    <w:name w:val="页脚 Char"/>
    <w:basedOn w:val="10"/>
    <w:link w:val="5"/>
    <w:qFormat/>
    <w:uiPriority w:val="99"/>
    <w:rPr>
      <w:rFonts w:eastAsia="宋体"/>
      <w:kern w:val="2"/>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10"/>
    <w:link w:val="4"/>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349</Words>
  <Characters>1993</Characters>
  <Lines>16</Lines>
  <Paragraphs>4</Paragraphs>
  <TotalTime>4</TotalTime>
  <ScaleCrop>false</ScaleCrop>
  <LinksUpToDate>false</LinksUpToDate>
  <CharactersWithSpaces>2338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2022-01-18T05:05:42Z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A7110BE40A114FD48D1F821036ED5C4B</vt:lpwstr>
  </property>
</Properties>
</file>