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52"/>
          <w:szCs w:val="52"/>
        </w:rPr>
      </w:pPr>
      <w:r>
        <w:rPr>
          <w:rFonts w:hint="eastAsia" w:ascii="黑体" w:hAnsi="宋体" w:eastAsia="黑体"/>
          <w:b/>
          <w:sz w:val="52"/>
          <w:szCs w:val="52"/>
        </w:rPr>
        <w:t xml:space="preserve">   </w:t>
      </w:r>
      <w:r>
        <w:rPr>
          <w:rFonts w:hint="eastAsia" w:ascii="黑体" w:hAnsi="宋体" w:eastAsia="黑体"/>
          <w:bCs/>
          <w:sz w:val="52"/>
          <w:szCs w:val="52"/>
        </w:rPr>
        <w:t>招标文</w:t>
      </w:r>
      <w:r>
        <w:rPr>
          <w:rFonts w:hint="eastAsia" w:ascii="宋体" w:hAnsi="宋体"/>
          <w:b/>
          <w:bCs/>
          <w:sz w:val="52"/>
          <w:szCs w:val="52"/>
        </w:rPr>
        <w:t>件</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bookmarkStart w:id="0" w:name="_GoBack"/>
      <w:bookmarkEnd w:id="0"/>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ascii="仿宋" w:hAnsi="仿宋" w:eastAsia="仿宋" w:cs="仿宋"/>
          <w:b/>
          <w:bCs/>
          <w:spacing w:val="10"/>
          <w:sz w:val="28"/>
          <w:szCs w:val="28"/>
          <w:u w:val="single"/>
        </w:rPr>
        <w:t>多介质过滤器</w:t>
      </w:r>
      <w:r>
        <w:rPr>
          <w:rFonts w:hint="eastAsia" w:ascii="仿宋" w:hAnsi="仿宋" w:eastAsia="仿宋" w:cs="仿宋"/>
          <w:b/>
          <w:bCs/>
          <w:spacing w:val="10"/>
          <w:sz w:val="28"/>
          <w:szCs w:val="28"/>
          <w:u w:val="single"/>
        </w:rPr>
        <w:t>采购</w:t>
      </w:r>
    </w:p>
    <w:p>
      <w:pPr>
        <w:spacing w:line="360" w:lineRule="auto"/>
        <w:ind w:firstLine="1204" w:firstLineChars="400"/>
        <w:jc w:val="left"/>
        <w:rPr>
          <w:rFonts w:ascii="仿宋" w:hAnsi="仿宋" w:eastAsia="仿宋" w:cs="仿宋"/>
          <w:spacing w:val="10"/>
          <w:sz w:val="28"/>
          <w:szCs w:val="28"/>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山东金宝电子股份有限公司</w:t>
      </w:r>
      <w:r>
        <w:rPr>
          <w:rFonts w:hint="eastAsia" w:ascii="仿宋" w:hAnsi="仿宋" w:eastAsia="仿宋" w:cs="仿宋"/>
          <w:b/>
          <w:bCs/>
          <w:spacing w:val="10"/>
          <w:sz w:val="28"/>
          <w:szCs w:val="28"/>
        </w:rPr>
        <w:t xml:space="preserve"> </w:t>
      </w:r>
      <w:r>
        <w:rPr>
          <w:rFonts w:hint="eastAsia" w:ascii="仿宋" w:hAnsi="仿宋" w:eastAsia="仿宋" w:cs="仿宋"/>
          <w:spacing w:val="10"/>
          <w:sz w:val="28"/>
          <w:szCs w:val="28"/>
        </w:rPr>
        <w:t xml:space="preserve"> </w:t>
      </w:r>
    </w:p>
    <w:p>
      <w:pPr>
        <w:spacing w:line="360" w:lineRule="auto"/>
        <w:ind w:firstLine="1200" w:firstLineChars="400"/>
        <w:jc w:val="left"/>
        <w:rPr>
          <w:rFonts w:ascii="仿宋" w:hAnsi="仿宋" w:eastAsia="仿宋" w:cs="仿宋"/>
          <w:spacing w:val="10"/>
          <w:sz w:val="24"/>
          <w:u w:val="single"/>
        </w:rPr>
      </w:pP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2021年12月21日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山东金宝电子股份有限公司就</w:t>
      </w:r>
      <w:r>
        <w:rPr>
          <w:rFonts w:hint="eastAsia" w:ascii="仿宋_GB2312" w:hAnsi="宋体" w:eastAsia="仿宋_GB2312"/>
          <w:sz w:val="28"/>
          <w:szCs w:val="28"/>
          <w:u w:val="single"/>
        </w:rPr>
        <w:t>“</w:t>
      </w:r>
      <w:r>
        <w:rPr>
          <w:rFonts w:ascii="仿宋_GB2312" w:hAnsi="宋体" w:eastAsia="仿宋_GB2312"/>
          <w:sz w:val="28"/>
          <w:szCs w:val="28"/>
          <w:u w:val="single"/>
        </w:rPr>
        <w:t>多介质过滤器</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一、招标人：</w:t>
      </w:r>
      <w:r>
        <w:rPr>
          <w:rFonts w:hint="eastAsia" w:ascii="仿宋_GB2312" w:hAnsi="宋体" w:eastAsia="仿宋_GB2312"/>
          <w:sz w:val="28"/>
          <w:szCs w:val="28"/>
        </w:rPr>
        <w:t>山东金宝电子股份有限公司</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二、项目名称：</w:t>
      </w:r>
      <w:r>
        <w:rPr>
          <w:rFonts w:ascii="仿宋_GB2312" w:hAnsi="宋体" w:eastAsia="仿宋_GB2312"/>
          <w:sz w:val="28"/>
          <w:szCs w:val="28"/>
        </w:rPr>
        <w:t>多介质过滤器</w:t>
      </w:r>
      <w:r>
        <w:rPr>
          <w:rFonts w:hint="eastAsia" w:ascii="仿宋_GB2312" w:hAnsi="宋体" w:eastAsia="仿宋_GB2312"/>
          <w:sz w:val="28"/>
          <w:szCs w:val="28"/>
        </w:rPr>
        <w:t>采购</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w:t>
      </w:r>
      <w:r>
        <w:rPr>
          <w:rFonts w:hint="eastAsia" w:ascii="仿宋_GB2312" w:eastAsia="仿宋_GB2312"/>
          <w:b/>
          <w:color w:val="C00000"/>
          <w:sz w:val="28"/>
          <w:szCs w:val="28"/>
          <w:lang w:val="en-US" w:eastAsia="zh-CN"/>
        </w:rPr>
        <w:t>2021.12.23-2021.12.27</w:t>
      </w:r>
    </w:p>
    <w:p>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w:t>
      </w:r>
      <w:r>
        <w:rPr>
          <w:rFonts w:hint="eastAsia" w:ascii="仿宋_GB2312" w:eastAsia="仿宋_GB2312"/>
          <w:b/>
          <w:color w:val="C00000"/>
          <w:sz w:val="28"/>
          <w:szCs w:val="28"/>
          <w:lang w:val="en-US" w:eastAsia="zh-CN"/>
        </w:rPr>
        <w:t>2021.12.27-2021.12.29</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四、技术联系人：尹瑞权</w:t>
      </w:r>
      <w:r>
        <w:rPr>
          <w:rFonts w:hint="eastAsia" w:ascii="仿宋_GB2312" w:hAnsi="宋体" w:eastAsia="仿宋_GB2312"/>
          <w:sz w:val="28"/>
          <w:szCs w:val="28"/>
        </w:rPr>
        <w:t xml:space="preserve"> </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联系方式：</w:t>
      </w:r>
      <w:r>
        <w:rPr>
          <w:rFonts w:hint="eastAsia" w:ascii="仿宋_GB2312" w:hAnsi="宋体" w:eastAsia="仿宋_GB2312"/>
          <w:sz w:val="28"/>
          <w:szCs w:val="28"/>
        </w:rPr>
        <w:t>13780923594</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邮箱：yin8116376</w:t>
      </w:r>
      <w:r>
        <w:rPr>
          <w:rFonts w:hint="eastAsia" w:ascii="仿宋_GB2312" w:hAnsi="宋体" w:eastAsia="仿宋_GB2312"/>
          <w:sz w:val="28"/>
          <w:szCs w:val="28"/>
        </w:rPr>
        <w:t xml:space="preserve"> @163.com</w:t>
      </w:r>
      <w:r>
        <w:rPr>
          <w:rFonts w:ascii="仿宋_GB2312" w:hAnsi="宋体" w:eastAsia="仿宋_GB2312"/>
          <w:b/>
          <w:bCs/>
          <w:sz w:val="28"/>
          <w:szCs w:val="28"/>
        </w:rPr>
        <w:t xml:space="preserve"> </w:t>
      </w:r>
    </w:p>
    <w:p>
      <w:pPr>
        <w:pStyle w:val="11"/>
        <w:numPr>
          <w:ilvl w:val="0"/>
          <w:numId w:val="1"/>
        </w:numPr>
        <w:spacing w:line="360" w:lineRule="auto"/>
        <w:ind w:right="70" w:firstLineChars="0"/>
        <w:rPr>
          <w:rFonts w:ascii="仿宋_GB2312" w:hAnsi="宋体" w:eastAsia="仿宋_GB2312"/>
          <w:color w:val="C00000"/>
          <w:sz w:val="28"/>
          <w:szCs w:val="28"/>
        </w:rPr>
      </w:pPr>
      <w:r>
        <w:rPr>
          <w:rFonts w:hint="eastAsia" w:ascii="仿宋_GB2312" w:hAnsi="宋体" w:eastAsia="仿宋_GB2312"/>
          <w:b/>
          <w:bCs/>
          <w:color w:val="C00000"/>
          <w:sz w:val="28"/>
          <w:szCs w:val="28"/>
        </w:rPr>
        <w:t>商务联系人：</w:t>
      </w:r>
      <w:r>
        <w:rPr>
          <w:rFonts w:hint="eastAsia" w:ascii="仿宋_GB2312" w:hAnsi="宋体" w:eastAsia="仿宋_GB2312"/>
          <w:color w:val="C00000"/>
          <w:sz w:val="28"/>
          <w:szCs w:val="28"/>
        </w:rPr>
        <w:t xml:space="preserve"> </w:t>
      </w:r>
      <w:r>
        <w:rPr>
          <w:rFonts w:hint="eastAsia" w:ascii="仿宋_GB2312" w:hAnsi="宋体" w:eastAsia="仿宋_GB2312"/>
          <w:color w:val="C00000"/>
          <w:sz w:val="28"/>
          <w:szCs w:val="28"/>
          <w:lang w:eastAsia="zh-CN"/>
        </w:rPr>
        <w:t>小方</w:t>
      </w:r>
      <w:r>
        <w:rPr>
          <w:rFonts w:hint="eastAsia" w:ascii="仿宋_GB2312" w:hAnsi="宋体" w:eastAsia="仿宋_GB2312"/>
          <w:color w:val="C00000"/>
          <w:sz w:val="28"/>
          <w:szCs w:val="28"/>
          <w:lang w:val="en-US" w:eastAsia="zh-CN"/>
        </w:rPr>
        <w:t>0535-2701503</w:t>
      </w:r>
    </w:p>
    <w:p>
      <w:pPr>
        <w:spacing w:line="360" w:lineRule="auto"/>
        <w:ind w:left="560" w:right="70"/>
        <w:rPr>
          <w:rFonts w:hint="default" w:ascii="仿宋_GB2312" w:hAnsi="宋体" w:eastAsia="仿宋_GB2312"/>
          <w:sz w:val="28"/>
          <w:szCs w:val="28"/>
          <w:lang w:val="en-US" w:eastAsia="zh-CN"/>
        </w:rPr>
      </w:pPr>
      <w:r>
        <w:rPr>
          <w:rFonts w:hint="eastAsia" w:ascii="仿宋_GB2312" w:hAnsi="宋体" w:eastAsia="仿宋_GB2312"/>
          <w:b/>
          <w:bCs/>
          <w:sz w:val="28"/>
          <w:szCs w:val="28"/>
        </w:rPr>
        <w:t>六、投标地点：</w:t>
      </w:r>
      <w:r>
        <w:rPr>
          <w:rFonts w:hint="eastAsia" w:ascii="仿宋_GB2312" w:hAnsi="宋体" w:eastAsia="仿宋_GB2312"/>
          <w:sz w:val="28"/>
          <w:szCs w:val="28"/>
        </w:rPr>
        <w:t>山东省招远市</w:t>
      </w:r>
      <w:r>
        <w:rPr>
          <w:rFonts w:hint="eastAsia" w:ascii="仿宋_GB2312" w:hAnsi="宋体" w:eastAsia="仿宋_GB2312"/>
          <w:sz w:val="28"/>
          <w:szCs w:val="28"/>
          <w:lang w:eastAsia="zh-CN"/>
        </w:rPr>
        <w:t>国大路</w:t>
      </w:r>
      <w:r>
        <w:rPr>
          <w:rFonts w:hint="eastAsia" w:ascii="仿宋_GB2312" w:hAnsi="宋体" w:eastAsia="仿宋_GB2312"/>
          <w:sz w:val="28"/>
          <w:szCs w:val="28"/>
          <w:lang w:val="en-US" w:eastAsia="zh-CN"/>
        </w:rPr>
        <w:t>268号106室</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七、邮    编：</w:t>
      </w:r>
      <w:r>
        <w:rPr>
          <w:rFonts w:hint="eastAsia" w:ascii="仿宋_GB2312" w:hAnsi="宋体" w:eastAsia="仿宋_GB2312"/>
          <w:sz w:val="28"/>
          <w:szCs w:val="28"/>
        </w:rPr>
        <w:t>265400</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八、</w:t>
      </w:r>
      <w:r>
        <w:rPr>
          <w:rFonts w:hint="eastAsia" w:ascii="仿宋_GB2312" w:hAnsi="宋体" w:eastAsia="仿宋_GB2312"/>
          <w:b/>
          <w:bCs/>
          <w:color w:val="C00000"/>
          <w:sz w:val="28"/>
          <w:szCs w:val="28"/>
        </w:rPr>
        <w:t>投标保证金：  元</w:t>
      </w:r>
    </w:p>
    <w:p>
      <w:pPr>
        <w:spacing w:line="440" w:lineRule="exact"/>
        <w:ind w:firstLine="1405" w:firstLineChars="500"/>
        <w:rPr>
          <w:rFonts w:hint="eastAsia" w:ascii="仿宋_GB2312" w:hAnsi="仿宋_GB2312" w:eastAsia="仿宋_GB2312" w:cs="仿宋_GB2312"/>
          <w:b/>
          <w:bCs/>
          <w:color w:val="C00000"/>
          <w:sz w:val="28"/>
          <w:szCs w:val="28"/>
        </w:rPr>
      </w:pPr>
      <w:r>
        <w:rPr>
          <w:rFonts w:hint="eastAsia" w:ascii="仿宋_GB2312" w:hAnsi="宋体" w:eastAsia="仿宋_GB2312"/>
          <w:b/>
          <w:bCs/>
          <w:sz w:val="28"/>
          <w:szCs w:val="28"/>
        </w:rPr>
        <w:t xml:space="preserve">    </w:t>
      </w:r>
      <w:r>
        <w:rPr>
          <w:rFonts w:hint="eastAsia" w:ascii="仿宋_GB2312" w:hAnsi="宋体" w:eastAsia="仿宋_GB2312"/>
          <w:b/>
          <w:bCs/>
          <w:color w:val="C00000"/>
          <w:sz w:val="28"/>
          <w:szCs w:val="28"/>
        </w:rPr>
        <w:t>汇款资料：</w:t>
      </w:r>
      <w:r>
        <w:rPr>
          <w:rFonts w:hint="eastAsia" w:ascii="仿宋_GB2312" w:hAnsi="仿宋_GB2312" w:eastAsia="仿宋_GB2312" w:cs="仿宋_GB2312"/>
          <w:b/>
          <w:bCs/>
          <w:color w:val="C00000"/>
          <w:sz w:val="28"/>
          <w:szCs w:val="28"/>
        </w:rPr>
        <w:t>单位名称：山东金宝电子股份有限公司</w:t>
      </w:r>
    </w:p>
    <w:p>
      <w:pPr>
        <w:keepNext w:val="0"/>
        <w:keepLines w:val="0"/>
        <w:widowControl/>
        <w:suppressLineNumbers w:val="0"/>
        <w:ind w:firstLine="1968" w:firstLineChars="700"/>
        <w:jc w:val="left"/>
        <w:rPr>
          <w:rFonts w:hint="default" w:ascii="仿宋_GB2312" w:hAnsi="仿宋_GB2312" w:eastAsia="仿宋_GB2312" w:cs="仿宋_GB2312"/>
          <w:b/>
          <w:bCs/>
          <w:color w:val="C00000"/>
          <w:sz w:val="28"/>
          <w:szCs w:val="28"/>
          <w:lang w:val="en-US" w:eastAsia="zh-CN"/>
        </w:rPr>
      </w:pPr>
      <w:r>
        <w:rPr>
          <w:rFonts w:hint="eastAsia" w:ascii="仿宋_GB2312" w:hAnsi="仿宋_GB2312" w:eastAsia="仿宋_GB2312" w:cs="仿宋_GB2312"/>
          <w:b/>
          <w:bCs/>
          <w:color w:val="C00000"/>
          <w:sz w:val="28"/>
          <w:szCs w:val="28"/>
        </w:rPr>
        <w:t>帐</w:t>
      </w:r>
      <w:r>
        <w:rPr>
          <w:rFonts w:hint="eastAsia" w:ascii="仿宋_GB2312" w:hAnsi="仿宋_GB2312" w:eastAsia="仿宋_GB2312" w:cs="仿宋_GB2312"/>
          <w:b/>
          <w:bCs/>
          <w:color w:val="C00000"/>
          <w:sz w:val="28"/>
          <w:szCs w:val="28"/>
          <w:lang w:val="en-US" w:eastAsia="zh-CN"/>
        </w:rPr>
        <w:t xml:space="preserve">    </w:t>
      </w:r>
      <w:r>
        <w:rPr>
          <w:rFonts w:hint="eastAsia" w:ascii="仿宋_GB2312" w:hAnsi="仿宋_GB2312" w:eastAsia="仿宋_GB2312" w:cs="仿宋_GB2312"/>
          <w:b/>
          <w:bCs/>
          <w:color w:val="C00000"/>
          <w:sz w:val="28"/>
          <w:szCs w:val="28"/>
        </w:rPr>
        <w:t>号：</w:t>
      </w:r>
      <w:r>
        <w:rPr>
          <w:rFonts w:hint="eastAsia" w:ascii="仿宋_GB2312" w:hAnsi="仿宋_GB2312" w:eastAsia="仿宋_GB2312" w:cs="仿宋_GB2312"/>
          <w:b/>
          <w:bCs/>
          <w:color w:val="C00000"/>
          <w:sz w:val="28"/>
          <w:szCs w:val="28"/>
          <w:lang w:val="en-US" w:eastAsia="zh-CN"/>
        </w:rPr>
        <w:t>5000 6473 3510 017</w:t>
      </w:r>
    </w:p>
    <w:p>
      <w:pPr>
        <w:keepNext w:val="0"/>
        <w:keepLines w:val="0"/>
        <w:widowControl/>
        <w:suppressLineNumbers w:val="0"/>
        <w:ind w:firstLine="1968" w:firstLineChars="700"/>
        <w:jc w:val="left"/>
      </w:pPr>
      <w:r>
        <w:rPr>
          <w:rFonts w:hint="eastAsia" w:ascii="仿宋_GB2312" w:hAnsi="仿宋_GB2312" w:eastAsia="仿宋_GB2312" w:cs="仿宋_GB2312"/>
          <w:b/>
          <w:bCs/>
          <w:color w:val="C00000"/>
          <w:sz w:val="28"/>
          <w:szCs w:val="28"/>
        </w:rPr>
        <w:t>开</w:t>
      </w:r>
      <w:r>
        <w:rPr>
          <w:rFonts w:hint="eastAsia" w:ascii="仿宋_GB2312" w:hAnsi="仿宋_GB2312" w:eastAsia="仿宋_GB2312" w:cs="仿宋_GB2312"/>
          <w:b/>
          <w:bCs/>
          <w:color w:val="C00000"/>
          <w:sz w:val="28"/>
          <w:szCs w:val="28"/>
          <w:lang w:val="en-US" w:eastAsia="zh-CN"/>
        </w:rPr>
        <w:t xml:space="preserve"> </w:t>
      </w:r>
      <w:r>
        <w:rPr>
          <w:rFonts w:hint="eastAsia" w:ascii="仿宋_GB2312" w:hAnsi="仿宋_GB2312" w:eastAsia="仿宋_GB2312" w:cs="仿宋_GB2312"/>
          <w:b/>
          <w:bCs/>
          <w:color w:val="C00000"/>
          <w:sz w:val="28"/>
          <w:szCs w:val="28"/>
        </w:rPr>
        <w:t>户</w:t>
      </w:r>
      <w:r>
        <w:rPr>
          <w:rFonts w:hint="eastAsia" w:ascii="仿宋_GB2312" w:hAnsi="仿宋_GB2312" w:eastAsia="仿宋_GB2312" w:cs="仿宋_GB2312"/>
          <w:b/>
          <w:bCs/>
          <w:color w:val="C00000"/>
          <w:sz w:val="28"/>
          <w:szCs w:val="28"/>
          <w:lang w:val="en-US" w:eastAsia="zh-CN"/>
        </w:rPr>
        <w:t xml:space="preserve"> </w:t>
      </w:r>
      <w:r>
        <w:rPr>
          <w:rFonts w:hint="eastAsia" w:ascii="仿宋_GB2312" w:hAnsi="仿宋_GB2312" w:eastAsia="仿宋_GB2312" w:cs="仿宋_GB2312"/>
          <w:b/>
          <w:bCs/>
          <w:color w:val="C00000"/>
          <w:sz w:val="28"/>
          <w:szCs w:val="28"/>
        </w:rPr>
        <w:t>行</w:t>
      </w:r>
      <w:r>
        <w:rPr>
          <w:rFonts w:hint="eastAsia" w:ascii="仿宋_GB2312" w:hAnsi="仿宋_GB2312" w:eastAsia="仿宋_GB2312" w:cs="仿宋_GB2312"/>
          <w:b/>
          <w:bCs/>
          <w:color w:val="C00000"/>
          <w:sz w:val="28"/>
          <w:szCs w:val="28"/>
          <w:lang w:eastAsia="zh-CN"/>
        </w:rPr>
        <w:t>：恒丰银行招远支行</w:t>
      </w:r>
    </w:p>
    <w:p>
      <w:pPr>
        <w:spacing w:line="440" w:lineRule="exact"/>
        <w:ind w:firstLine="1400" w:firstLineChars="500"/>
        <w:rPr>
          <w:rFonts w:ascii="仿宋_GB2312" w:hAnsi="仿宋_GB2312" w:eastAsia="仿宋_GB2312" w:cs="仿宋_GB2312"/>
          <w:sz w:val="28"/>
          <w:szCs w:val="28"/>
        </w:rPr>
      </w:pPr>
    </w:p>
    <w:p>
      <w:pPr>
        <w:widowControl/>
        <w:ind w:firstLine="1050" w:firstLineChars="500"/>
        <w:jc w:val="left"/>
      </w:pPr>
    </w:p>
    <w:p>
      <w:pPr>
        <w:spacing w:line="360" w:lineRule="auto"/>
        <w:ind w:right="70" w:firstLine="562" w:firstLineChars="200"/>
        <w:rPr>
          <w:rFonts w:ascii="仿宋_GB2312" w:hAnsi="宋体" w:eastAsia="仿宋_GB2312"/>
          <w:b/>
          <w:bCs/>
          <w:sz w:val="28"/>
          <w:szCs w:val="28"/>
          <w:highlight w:val="yellow"/>
        </w:rPr>
      </w:pP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开标需要先进行技术投标，确定技术方案，再进行商务投标，未确定技术方案的商务投标，开标时一律作废。</w:t>
      </w:r>
    </w:p>
    <w:p>
      <w:pPr>
        <w:spacing w:line="360" w:lineRule="auto"/>
        <w:ind w:right="70" w:firstLine="562" w:firstLineChars="200"/>
        <w:rPr>
          <w:rFonts w:hint="default" w:ascii="仿宋_GB2312" w:hAnsi="宋体" w:eastAsia="仿宋_GB2312"/>
          <w:b/>
          <w:bCs/>
          <w:sz w:val="28"/>
          <w:szCs w:val="28"/>
          <w:lang w:val="en-US" w:eastAsia="zh-CN"/>
        </w:rPr>
      </w:pPr>
      <w:r>
        <w:rPr>
          <w:rFonts w:hint="eastAsia" w:ascii="仿宋_GB2312" w:hAnsi="宋体" w:eastAsia="仿宋_GB2312"/>
          <w:b/>
          <w:bCs/>
          <w:sz w:val="28"/>
          <w:szCs w:val="28"/>
          <w:highlight w:val="yellow"/>
        </w:rPr>
        <w:t>技术投标需要将技术方案以邮件的形式发送到我公司技术联系人的邮箱中</w:t>
      </w:r>
      <w:r>
        <w:rPr>
          <w:rFonts w:hint="eastAsia" w:ascii="仿宋_GB2312" w:hAnsi="宋体" w:eastAsia="仿宋_GB2312"/>
          <w:b/>
          <w:bCs/>
          <w:sz w:val="28"/>
          <w:szCs w:val="28"/>
        </w:rPr>
        <w:t>（联系人：尹瑞权）</w:t>
      </w:r>
      <w:r>
        <w:rPr>
          <w:rFonts w:hint="eastAsia" w:ascii="仿宋_GB2312" w:hAnsi="宋体" w:eastAsia="仿宋_GB2312"/>
          <w:b/>
          <w:bCs/>
          <w:sz w:val="28"/>
          <w:szCs w:val="28"/>
          <w:highlight w:val="yellow"/>
        </w:rPr>
        <w:t>；商务投标可以将标书邮寄或直接送达商务投标地点</w:t>
      </w:r>
      <w:r>
        <w:rPr>
          <w:rFonts w:hint="eastAsia" w:ascii="仿宋_GB2312" w:hAnsi="宋体" w:eastAsia="仿宋_GB2312"/>
          <w:b/>
          <w:bCs/>
          <w:color w:val="C00000"/>
          <w:sz w:val="28"/>
          <w:szCs w:val="28"/>
          <w:highlight w:val="yellow"/>
        </w:rPr>
        <w:t>（联系人：</w:t>
      </w:r>
      <w:r>
        <w:rPr>
          <w:rFonts w:hint="eastAsia" w:ascii="仿宋_GB2312" w:hAnsi="宋体" w:eastAsia="仿宋_GB2312"/>
          <w:b/>
          <w:bCs/>
          <w:color w:val="C00000"/>
          <w:sz w:val="28"/>
          <w:szCs w:val="28"/>
          <w:highlight w:val="yellow"/>
          <w:lang w:eastAsia="zh-CN"/>
        </w:rPr>
        <w:t>小方</w:t>
      </w:r>
      <w:r>
        <w:rPr>
          <w:rFonts w:hint="eastAsia" w:ascii="仿宋_GB2312" w:hAnsi="宋体" w:eastAsia="仿宋_GB2312"/>
          <w:b/>
          <w:bCs/>
          <w:color w:val="C00000"/>
          <w:sz w:val="28"/>
          <w:szCs w:val="28"/>
          <w:highlight w:val="yellow"/>
        </w:rPr>
        <w:t>）</w:t>
      </w:r>
      <w:r>
        <w:rPr>
          <w:rFonts w:hint="eastAsia" w:ascii="仿宋_GB2312" w:hAnsi="宋体" w:eastAsia="仿宋_GB2312"/>
          <w:b/>
          <w:bCs/>
          <w:sz w:val="28"/>
          <w:szCs w:val="28"/>
          <w:highlight w:val="yellow"/>
        </w:rPr>
        <w:t>，标书务必要密封。</w:t>
      </w:r>
      <w:r>
        <w:rPr>
          <w:rFonts w:hint="eastAsia" w:ascii="仿宋_GB2312" w:hAnsi="宋体" w:eastAsia="仿宋_GB2312"/>
          <w:b/>
          <w:bCs/>
          <w:sz w:val="28"/>
          <w:szCs w:val="28"/>
          <w:highlight w:val="yellow"/>
          <w:lang w:eastAsia="zh-CN"/>
        </w:rPr>
        <w:t>电子标书可放送至</w:t>
      </w:r>
      <w:r>
        <w:rPr>
          <w:rFonts w:hint="eastAsia" w:ascii="仿宋_GB2312" w:hAnsi="宋体" w:eastAsia="仿宋_GB2312"/>
          <w:b/>
          <w:bCs/>
          <w:sz w:val="28"/>
          <w:szCs w:val="28"/>
          <w:highlight w:val="yellow"/>
          <w:lang w:val="en-US" w:eastAsia="zh-CN"/>
        </w:rPr>
        <w:t>jinbaocgzb@chinajinbao.com。</w:t>
      </w: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2"/>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投标要求</w:t>
      </w:r>
    </w:p>
    <w:p>
      <w:pPr>
        <w:pStyle w:val="11"/>
        <w:numPr>
          <w:ilvl w:val="0"/>
          <w:numId w:val="2"/>
        </w:numPr>
        <w:spacing w:line="360" w:lineRule="auto"/>
        <w:ind w:right="70" w:firstLineChars="0"/>
        <w:rPr>
          <w:rFonts w:ascii="仿宋_GB2312" w:hAnsi="宋体" w:eastAsia="仿宋_GB2312"/>
          <w:b/>
          <w:bCs/>
          <w:sz w:val="28"/>
          <w:szCs w:val="28"/>
          <w:highlight w:val="yellow"/>
        </w:rPr>
      </w:pPr>
      <w:r>
        <w:rPr>
          <w:rFonts w:hint="eastAsia" w:ascii="仿宋_GB2312" w:hAnsi="宋体" w:eastAsia="仿宋_GB2312"/>
          <w:b/>
          <w:sz w:val="28"/>
          <w:szCs w:val="28"/>
          <w:highlight w:val="yellow"/>
        </w:rPr>
        <w:t>1.经办者需提供由投标人出具的授权书（盖公章），代表该投标人全权处理招标活动中的一切事宜，并签订一切文件。</w:t>
      </w:r>
    </w:p>
    <w:p>
      <w:pPr>
        <w:pStyle w:val="11"/>
        <w:numPr>
          <w:ilvl w:val="0"/>
          <w:numId w:val="2"/>
        </w:numPr>
        <w:spacing w:line="360" w:lineRule="auto"/>
        <w:ind w:right="70" w:firstLineChars="0"/>
        <w:rPr>
          <w:rFonts w:ascii="仿宋_GB2312" w:hAnsi="宋体" w:eastAsia="仿宋_GB2312"/>
          <w:sz w:val="28"/>
          <w:szCs w:val="28"/>
          <w:highlight w:val="yellow"/>
        </w:rPr>
      </w:pPr>
      <w:r>
        <w:rPr>
          <w:rFonts w:hint="eastAsia" w:ascii="仿宋_GB2312" w:hAnsi="宋体" w:eastAsia="仿宋_GB2312"/>
          <w:sz w:val="28"/>
          <w:szCs w:val="28"/>
          <w:highlight w:val="yellow"/>
        </w:rPr>
        <w:t>2、投标人应根据招标人提供的项目需求设计整体解决方案，制定项目配置及实施方案，进行分项报价，并提供方案说明及服务承诺。</w:t>
      </w:r>
    </w:p>
    <w:p>
      <w:pPr>
        <w:pStyle w:val="11"/>
        <w:numPr>
          <w:ilvl w:val="0"/>
          <w:numId w:val="2"/>
        </w:numPr>
        <w:spacing w:line="360" w:lineRule="auto"/>
        <w:ind w:right="70" w:firstLineChars="0"/>
        <w:rPr>
          <w:rFonts w:ascii="仿宋_GB2312" w:hAnsi="宋体" w:eastAsia="仿宋_GB2312"/>
          <w:sz w:val="28"/>
          <w:szCs w:val="28"/>
          <w:highlight w:val="yellow"/>
        </w:rPr>
      </w:pPr>
      <w:r>
        <w:rPr>
          <w:rFonts w:hint="eastAsia" w:ascii="仿宋_GB2312" w:hAnsi="宋体" w:eastAsia="仿宋_GB2312"/>
          <w:sz w:val="28"/>
          <w:szCs w:val="28"/>
          <w:highlight w:val="yellow"/>
        </w:rPr>
        <w:t>3、投标人应按照招标文件的要求提供完整、准确的投标文件，保证所指定的解决方案满足招标人所提出的项目全部要求，并对所有资料的真实性承担法律责任。</w:t>
      </w:r>
    </w:p>
    <w:p>
      <w:pPr>
        <w:pStyle w:val="11"/>
        <w:numPr>
          <w:ilvl w:val="0"/>
          <w:numId w:val="2"/>
        </w:numPr>
        <w:spacing w:line="360" w:lineRule="auto"/>
        <w:ind w:right="70" w:firstLineChars="0"/>
        <w:rPr>
          <w:rFonts w:ascii="仿宋_GB2312" w:hAnsi="宋体" w:eastAsia="仿宋_GB2312"/>
          <w:sz w:val="28"/>
          <w:szCs w:val="28"/>
          <w:highlight w:val="yellow"/>
        </w:rPr>
      </w:pPr>
      <w:r>
        <w:rPr>
          <w:rFonts w:hint="eastAsia" w:ascii="仿宋_GB2312" w:hAnsi="宋体" w:eastAsia="仿宋_GB2312"/>
          <w:sz w:val="28"/>
          <w:szCs w:val="28"/>
          <w:highlight w:val="yellow"/>
        </w:rPr>
        <w:t>4、招标人保留与投标人的报价进行商务谈判的权利，同时保留对投标人的客户进行咨询（不涉及商业机密内容）的权利。</w:t>
      </w:r>
    </w:p>
    <w:p>
      <w:pPr>
        <w:pStyle w:val="11"/>
        <w:numPr>
          <w:ilvl w:val="0"/>
          <w:numId w:val="2"/>
        </w:numPr>
        <w:spacing w:line="360" w:lineRule="auto"/>
        <w:ind w:right="70" w:firstLineChars="0"/>
        <w:rPr>
          <w:rFonts w:ascii="仿宋_GB2312" w:hAnsi="宋体" w:eastAsia="仿宋_GB2312"/>
          <w:sz w:val="28"/>
          <w:szCs w:val="28"/>
          <w:highlight w:val="yellow"/>
        </w:rPr>
      </w:pPr>
      <w:r>
        <w:rPr>
          <w:rFonts w:hint="eastAsia" w:ascii="仿宋_GB2312" w:hAnsi="宋体" w:eastAsia="仿宋_GB2312"/>
          <w:sz w:val="28"/>
          <w:szCs w:val="28"/>
          <w:highlight w:val="yellow"/>
        </w:rPr>
        <w:t>5、在参与本次招标过程中出现以下情况或行为，将取消其投标资格且不予返还投标保证金：</w:t>
      </w:r>
    </w:p>
    <w:p>
      <w:pPr>
        <w:pStyle w:val="11"/>
        <w:numPr>
          <w:ilvl w:val="0"/>
          <w:numId w:val="2"/>
        </w:numPr>
        <w:spacing w:line="360" w:lineRule="auto"/>
        <w:ind w:right="70" w:firstLineChars="0"/>
        <w:rPr>
          <w:rFonts w:ascii="仿宋_GB2312" w:hAnsi="宋体" w:eastAsia="仿宋_GB2312"/>
          <w:sz w:val="28"/>
          <w:szCs w:val="28"/>
          <w:highlight w:val="yellow"/>
        </w:rPr>
      </w:pPr>
      <w:r>
        <w:rPr>
          <w:rFonts w:hint="eastAsia" w:ascii="仿宋_GB2312" w:hAnsi="宋体" w:eastAsia="仿宋_GB2312"/>
          <w:sz w:val="28"/>
          <w:szCs w:val="28"/>
          <w:highlight w:val="yellow"/>
        </w:rPr>
        <w:t>①采取弄虚作假的方式，提供虚假的信息或资料；</w:t>
      </w:r>
    </w:p>
    <w:p>
      <w:pPr>
        <w:pStyle w:val="11"/>
        <w:numPr>
          <w:ilvl w:val="0"/>
          <w:numId w:val="2"/>
        </w:numPr>
        <w:spacing w:line="360" w:lineRule="auto"/>
        <w:ind w:right="70" w:firstLineChars="0"/>
        <w:rPr>
          <w:rFonts w:ascii="仿宋_GB2312" w:hAnsi="宋体" w:eastAsia="仿宋_GB2312"/>
          <w:sz w:val="28"/>
          <w:szCs w:val="28"/>
          <w:highlight w:val="yellow"/>
        </w:rPr>
      </w:pPr>
      <w:r>
        <w:rPr>
          <w:rFonts w:hint="eastAsia" w:ascii="仿宋_GB2312" w:hAnsi="宋体" w:eastAsia="仿宋_GB2312"/>
          <w:sz w:val="28"/>
          <w:szCs w:val="28"/>
          <w:highlight w:val="yellow"/>
        </w:rPr>
        <w:t>②存在不正当竞争，如：串标、陪标现象；</w:t>
      </w:r>
    </w:p>
    <w:p>
      <w:pPr>
        <w:pStyle w:val="11"/>
        <w:numPr>
          <w:ilvl w:val="0"/>
          <w:numId w:val="2"/>
        </w:numPr>
        <w:spacing w:line="360" w:lineRule="auto"/>
        <w:ind w:right="70" w:firstLineChars="0"/>
        <w:rPr>
          <w:rFonts w:ascii="仿宋_GB2312" w:hAnsi="宋体" w:eastAsia="仿宋_GB2312"/>
          <w:sz w:val="28"/>
          <w:szCs w:val="28"/>
          <w:highlight w:val="yellow"/>
        </w:rPr>
      </w:pPr>
      <w:r>
        <w:rPr>
          <w:rFonts w:hint="eastAsia" w:ascii="仿宋_GB2312" w:hAnsi="仿宋_GB2312" w:eastAsia="仿宋_GB2312" w:cs="仿宋_GB2312"/>
          <w:sz w:val="28"/>
          <w:szCs w:val="28"/>
          <w:highlight w:val="yellow"/>
        </w:rPr>
        <w:t>③</w:t>
      </w:r>
      <w:r>
        <w:rPr>
          <w:rFonts w:hint="eastAsia" w:ascii="仿宋_GB2312" w:hAnsi="宋体" w:eastAsia="仿宋_GB2312"/>
          <w:sz w:val="28"/>
          <w:szCs w:val="28"/>
          <w:highlight w:val="yellow"/>
        </w:rPr>
        <w:t>存在贿赂、威胁、利诱等行为，妄图影响招标的真实性、公正性；（该行为将被记录在案，永久性取消投标资格。）</w:t>
      </w:r>
    </w:p>
    <w:p>
      <w:pPr>
        <w:numPr>
          <w:ilvl w:val="0"/>
          <w:numId w:val="2"/>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投标无效</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有以下情形的投标文件，视为无效：</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逾期未送达投标文件的；</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未按规定递交密封投标文件的；</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投标文件的编制、内容与招标文件存在明显差异或不符的；</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未加盖公章或无授权委托书的；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4"/>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pPr>
        <w:numPr>
          <w:ilvl w:val="0"/>
          <w:numId w:val="4"/>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pPr>
        <w:spacing w:line="360" w:lineRule="auto"/>
        <w:ind w:right="70"/>
        <w:rPr>
          <w:rFonts w:ascii="仿宋_GB2312" w:hAnsi="宋体" w:eastAsia="仿宋_GB2312"/>
          <w:sz w:val="28"/>
          <w:szCs w:val="28"/>
        </w:rPr>
      </w:pPr>
      <w:r>
        <w:rPr>
          <w:rFonts w:hint="eastAsia" w:ascii="仿宋_GB2312" w:hAnsi="宋体" w:eastAsia="仿宋_GB2312"/>
          <w:sz w:val="28"/>
          <w:szCs w:val="28"/>
        </w:rPr>
        <w:t xml:space="preserve">    </w:t>
      </w: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1、付款形式：电子承兑</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2.1、货到安装完成验收合格，招标方收到全额增值税发票后付货款90%；</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质保金10%，一年后付清</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2.2、或者比上述更优越的付款条件。</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3、售后或其他要求：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1"/>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1、交货日期：合同签订</w:t>
      </w:r>
      <w:r>
        <w:rPr>
          <w:rFonts w:ascii="仿宋_GB2312" w:hAnsi="宋体" w:eastAsia="仿宋_GB2312"/>
          <w:sz w:val="28"/>
          <w:szCs w:val="28"/>
        </w:rPr>
        <w:t>后</w:t>
      </w:r>
      <w:r>
        <w:rPr>
          <w:rFonts w:hint="eastAsia" w:ascii="仿宋_GB2312" w:hAnsi="宋体" w:eastAsia="仿宋_GB2312"/>
          <w:sz w:val="28"/>
          <w:szCs w:val="28"/>
          <w:u w:val="single"/>
        </w:rPr>
        <w:t xml:space="preserve"> 10 </w:t>
      </w:r>
      <w:r>
        <w:rPr>
          <w:rFonts w:hint="eastAsia" w:ascii="仿宋_GB2312" w:hAnsi="宋体" w:eastAsia="仿宋_GB2312"/>
          <w:sz w:val="28"/>
          <w:szCs w:val="28"/>
        </w:rPr>
        <w:t>个</w:t>
      </w:r>
      <w:r>
        <w:rPr>
          <w:rFonts w:ascii="仿宋_GB2312" w:hAnsi="宋体" w:eastAsia="仿宋_GB2312"/>
          <w:sz w:val="28"/>
          <w:szCs w:val="28"/>
        </w:rPr>
        <w:t>日历日</w:t>
      </w:r>
      <w:r>
        <w:rPr>
          <w:rFonts w:hint="eastAsia" w:ascii="仿宋_GB2312" w:hAnsi="宋体" w:eastAsia="仿宋_GB2312"/>
          <w:sz w:val="28"/>
          <w:szCs w:val="28"/>
        </w:rPr>
        <w:t>发货。</w:t>
      </w:r>
    </w:p>
    <w:p>
      <w:pPr>
        <w:pStyle w:val="11"/>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2、交货地点：铜箔金晖路厂</w:t>
      </w:r>
    </w:p>
    <w:p>
      <w:pPr>
        <w:pStyle w:val="11"/>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 xml:space="preserve">           </w:t>
      </w:r>
    </w:p>
    <w:p>
      <w:pPr>
        <w:spacing w:line="360" w:lineRule="auto"/>
        <w:ind w:right="70" w:firstLine="642"/>
        <w:rPr>
          <w:rFonts w:ascii="仿宋_GB2312" w:hAnsi="宋体" w:eastAsia="仿宋_GB2312"/>
          <w:sz w:val="28"/>
          <w:szCs w:val="28"/>
        </w:rPr>
      </w:pPr>
    </w:p>
    <w:p>
      <w:pPr>
        <w:spacing w:line="360" w:lineRule="auto"/>
        <w:ind w:right="70" w:firstLine="642"/>
        <w:rPr>
          <w:rFonts w:ascii="仿宋_GB2312" w:hAnsi="宋体" w:eastAsia="仿宋_GB2312"/>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一、标的物：</w:t>
      </w:r>
    </w:p>
    <w:tbl>
      <w:tblPr>
        <w:tblStyle w:val="7"/>
        <w:tblW w:w="8591" w:type="dxa"/>
        <w:tblInd w:w="96" w:type="dxa"/>
        <w:tblLayout w:type="autofit"/>
        <w:tblCellMar>
          <w:top w:w="0" w:type="dxa"/>
          <w:left w:w="108" w:type="dxa"/>
          <w:bottom w:w="0" w:type="dxa"/>
          <w:right w:w="108" w:type="dxa"/>
        </w:tblCellMar>
      </w:tblPr>
      <w:tblGrid>
        <w:gridCol w:w="721"/>
        <w:gridCol w:w="1418"/>
        <w:gridCol w:w="1701"/>
        <w:gridCol w:w="807"/>
        <w:gridCol w:w="1134"/>
        <w:gridCol w:w="993"/>
        <w:gridCol w:w="850"/>
        <w:gridCol w:w="967"/>
      </w:tblGrid>
      <w:tr>
        <w:tblPrEx>
          <w:tblCellMar>
            <w:top w:w="0" w:type="dxa"/>
            <w:left w:w="108" w:type="dxa"/>
            <w:bottom w:w="0" w:type="dxa"/>
            <w:right w:w="108" w:type="dxa"/>
          </w:tblCellMar>
        </w:tblPrEx>
        <w:trPr>
          <w:trHeight w:val="375" w:hRule="atLeast"/>
        </w:trPr>
        <w:tc>
          <w:tcPr>
            <w:tcW w:w="721" w:type="dxa"/>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Arial"/>
                <w:kern w:val="0"/>
                <w:sz w:val="20"/>
                <w:szCs w:val="20"/>
              </w:rPr>
            </w:pPr>
            <w:r>
              <w:rPr>
                <w:rFonts w:hint="eastAsia" w:ascii="宋体" w:hAnsi="宋体" w:cs="Arial"/>
                <w:kern w:val="0"/>
                <w:sz w:val="20"/>
                <w:szCs w:val="20"/>
              </w:rPr>
              <w:t>序号</w:t>
            </w:r>
          </w:p>
        </w:tc>
        <w:tc>
          <w:tcPr>
            <w:tcW w:w="1418"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 w:val="20"/>
                <w:szCs w:val="20"/>
              </w:rPr>
            </w:pPr>
            <w:r>
              <w:rPr>
                <w:rFonts w:hint="eastAsia" w:ascii="宋体" w:hAnsi="宋体" w:cs="Arial"/>
                <w:kern w:val="0"/>
                <w:sz w:val="20"/>
                <w:szCs w:val="20"/>
              </w:rPr>
              <w:t>设备名称</w:t>
            </w:r>
          </w:p>
        </w:tc>
        <w:tc>
          <w:tcPr>
            <w:tcW w:w="1701"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 w:val="20"/>
                <w:szCs w:val="20"/>
              </w:rPr>
            </w:pPr>
            <w:r>
              <w:rPr>
                <w:rFonts w:hint="eastAsia" w:ascii="宋体" w:hAnsi="宋体" w:cs="Arial"/>
                <w:kern w:val="0"/>
                <w:sz w:val="20"/>
                <w:szCs w:val="20"/>
              </w:rPr>
              <w:t>规格型号</w:t>
            </w:r>
          </w:p>
        </w:tc>
        <w:tc>
          <w:tcPr>
            <w:tcW w:w="807" w:type="dxa"/>
            <w:tcBorders>
              <w:top w:val="single" w:color="auto" w:sz="8" w:space="0"/>
              <w:left w:val="nil"/>
              <w:bottom w:val="single" w:color="auto" w:sz="4" w:space="0"/>
              <w:right w:val="single" w:color="auto" w:sz="4" w:space="0"/>
            </w:tcBorders>
            <w:vAlign w:val="center"/>
          </w:tcPr>
          <w:p>
            <w:pPr>
              <w:widowControl/>
              <w:jc w:val="center"/>
              <w:rPr>
                <w:rFonts w:ascii="宋体" w:hAnsi="宋体" w:cs="Arial"/>
                <w:kern w:val="0"/>
                <w:sz w:val="20"/>
                <w:szCs w:val="20"/>
              </w:rPr>
            </w:pPr>
            <w:r>
              <w:rPr>
                <w:rFonts w:ascii="宋体" w:hAnsi="宋体" w:cs="Arial"/>
                <w:kern w:val="0"/>
                <w:sz w:val="20"/>
                <w:szCs w:val="20"/>
              </w:rPr>
              <w:t>单位</w:t>
            </w:r>
          </w:p>
        </w:tc>
        <w:tc>
          <w:tcPr>
            <w:tcW w:w="1134" w:type="dxa"/>
            <w:tcBorders>
              <w:top w:val="single" w:color="auto" w:sz="8"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 w:val="20"/>
                <w:szCs w:val="20"/>
              </w:rPr>
            </w:pPr>
            <w:r>
              <w:rPr>
                <w:rFonts w:hint="eastAsia" w:ascii="宋体" w:hAnsi="宋体" w:cs="Arial"/>
                <w:kern w:val="0"/>
                <w:sz w:val="20"/>
                <w:szCs w:val="20"/>
              </w:rPr>
              <w:t>数量</w:t>
            </w:r>
          </w:p>
        </w:tc>
        <w:tc>
          <w:tcPr>
            <w:tcW w:w="993"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 w:val="20"/>
                <w:szCs w:val="20"/>
              </w:rPr>
            </w:pPr>
            <w:r>
              <w:rPr>
                <w:rFonts w:hint="eastAsia" w:ascii="宋体" w:hAnsi="宋体" w:cs="Arial"/>
                <w:kern w:val="0"/>
                <w:sz w:val="20"/>
                <w:szCs w:val="20"/>
              </w:rPr>
              <w:t>单价</w:t>
            </w:r>
          </w:p>
        </w:tc>
        <w:tc>
          <w:tcPr>
            <w:tcW w:w="850" w:type="dxa"/>
            <w:tcBorders>
              <w:top w:val="single" w:color="auto" w:sz="8" w:space="0"/>
              <w:left w:val="nil"/>
              <w:bottom w:val="single" w:color="auto" w:sz="4" w:space="0"/>
              <w:right w:val="single" w:color="auto" w:sz="8" w:space="0"/>
            </w:tcBorders>
            <w:shd w:val="clear" w:color="auto" w:fill="auto"/>
            <w:noWrap/>
            <w:vAlign w:val="center"/>
          </w:tcPr>
          <w:p>
            <w:pPr>
              <w:widowControl/>
              <w:jc w:val="center"/>
              <w:rPr>
                <w:rFonts w:ascii="宋体" w:hAnsi="宋体" w:cs="Arial"/>
                <w:kern w:val="0"/>
                <w:sz w:val="20"/>
                <w:szCs w:val="20"/>
              </w:rPr>
            </w:pPr>
            <w:r>
              <w:rPr>
                <w:rFonts w:hint="eastAsia" w:ascii="宋体" w:hAnsi="宋体" w:cs="Arial"/>
                <w:kern w:val="0"/>
                <w:sz w:val="20"/>
                <w:szCs w:val="20"/>
              </w:rPr>
              <w:t>总价</w:t>
            </w:r>
          </w:p>
        </w:tc>
        <w:tc>
          <w:tcPr>
            <w:tcW w:w="967" w:type="dxa"/>
            <w:tcBorders>
              <w:top w:val="single" w:color="auto" w:sz="8" w:space="0"/>
              <w:left w:val="nil"/>
              <w:bottom w:val="single" w:color="auto" w:sz="4" w:space="0"/>
              <w:right w:val="single" w:color="auto" w:sz="8" w:space="0"/>
            </w:tcBorders>
            <w:vAlign w:val="center"/>
          </w:tcPr>
          <w:p>
            <w:pPr>
              <w:widowControl/>
              <w:jc w:val="center"/>
              <w:rPr>
                <w:rFonts w:ascii="宋体" w:hAnsi="宋体" w:cs="Arial"/>
                <w:kern w:val="0"/>
                <w:sz w:val="20"/>
                <w:szCs w:val="20"/>
              </w:rPr>
            </w:pPr>
            <w:r>
              <w:rPr>
                <w:rFonts w:hint="eastAsia" w:ascii="宋体" w:hAnsi="宋体" w:cs="Arial"/>
                <w:kern w:val="0"/>
                <w:sz w:val="20"/>
                <w:szCs w:val="20"/>
              </w:rPr>
              <w:t>备注</w:t>
            </w:r>
          </w:p>
        </w:tc>
      </w:tr>
      <w:tr>
        <w:tblPrEx>
          <w:tblCellMar>
            <w:top w:w="0" w:type="dxa"/>
            <w:left w:w="108" w:type="dxa"/>
            <w:bottom w:w="0" w:type="dxa"/>
            <w:right w:w="108" w:type="dxa"/>
          </w:tblCellMar>
        </w:tblPrEx>
        <w:trPr>
          <w:trHeight w:val="480" w:hRule="atLeast"/>
        </w:trPr>
        <w:tc>
          <w:tcPr>
            <w:tcW w:w="721"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Arial" w:hAnsi="Arial" w:cs="Arial"/>
                <w:kern w:val="0"/>
                <w:sz w:val="20"/>
                <w:szCs w:val="20"/>
              </w:rPr>
            </w:pPr>
            <w:r>
              <w:rPr>
                <w:rFonts w:ascii="Arial" w:hAnsi="Arial" w:cs="Arial"/>
                <w:kern w:val="0"/>
                <w:sz w:val="20"/>
                <w:szCs w:val="20"/>
              </w:rPr>
              <w:t>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 w:val="20"/>
                <w:szCs w:val="20"/>
              </w:rPr>
            </w:pPr>
            <w:r>
              <w:rPr>
                <w:rFonts w:hint="eastAsia" w:ascii="宋体" w:hAnsi="宋体" w:cs="Arial"/>
                <w:kern w:val="0"/>
                <w:sz w:val="20"/>
                <w:szCs w:val="20"/>
              </w:rPr>
              <w:t>多介质过滤器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 w:val="20"/>
                <w:szCs w:val="20"/>
              </w:rPr>
            </w:pPr>
            <w:r>
              <w:rPr>
                <w:rFonts w:hint="eastAsia" w:ascii="宋体" w:hAnsi="宋体" w:cs="Arial"/>
                <w:kern w:val="0"/>
                <w:sz w:val="20"/>
                <w:szCs w:val="20"/>
              </w:rPr>
              <w:t>DN900*2100</w:t>
            </w:r>
          </w:p>
        </w:tc>
        <w:tc>
          <w:tcPr>
            <w:tcW w:w="807"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kern w:val="0"/>
                <w:sz w:val="20"/>
                <w:szCs w:val="20"/>
              </w:rPr>
            </w:pPr>
            <w:r>
              <w:rPr>
                <w:rFonts w:ascii="宋体" w:hAnsi="宋体" w:cs="Arial"/>
                <w:kern w:val="0"/>
                <w:sz w:val="20"/>
                <w:szCs w:val="20"/>
              </w:rPr>
              <w:t>套</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kern w:val="0"/>
                <w:sz w:val="20"/>
                <w:szCs w:val="20"/>
              </w:rPr>
            </w:pPr>
          </w:p>
        </w:tc>
        <w:tc>
          <w:tcPr>
            <w:tcW w:w="850" w:type="dxa"/>
            <w:tcBorders>
              <w:top w:val="nil"/>
              <w:left w:val="nil"/>
              <w:bottom w:val="single" w:color="auto" w:sz="4" w:space="0"/>
              <w:right w:val="single" w:color="auto" w:sz="8" w:space="0"/>
            </w:tcBorders>
            <w:shd w:val="clear" w:color="auto" w:fill="auto"/>
            <w:noWrap/>
            <w:vAlign w:val="center"/>
          </w:tcPr>
          <w:p>
            <w:pPr>
              <w:widowControl/>
              <w:jc w:val="center"/>
              <w:rPr>
                <w:rFonts w:ascii="Arial" w:hAnsi="Arial" w:cs="Arial"/>
                <w:kern w:val="0"/>
                <w:sz w:val="20"/>
                <w:szCs w:val="20"/>
              </w:rPr>
            </w:pPr>
          </w:p>
        </w:tc>
        <w:tc>
          <w:tcPr>
            <w:tcW w:w="967" w:type="dxa"/>
            <w:tcBorders>
              <w:top w:val="nil"/>
              <w:left w:val="nil"/>
              <w:bottom w:val="single" w:color="auto" w:sz="4" w:space="0"/>
              <w:right w:val="single" w:color="auto" w:sz="8" w:space="0"/>
            </w:tcBorders>
            <w:vAlign w:val="center"/>
          </w:tcPr>
          <w:p>
            <w:pPr>
              <w:widowControl/>
              <w:jc w:val="center"/>
              <w:rPr>
                <w:rFonts w:ascii="Arial" w:hAnsi="Arial" w:cs="Arial"/>
                <w:kern w:val="0"/>
                <w:sz w:val="20"/>
                <w:szCs w:val="20"/>
              </w:rPr>
            </w:pPr>
          </w:p>
        </w:tc>
      </w:tr>
    </w:tbl>
    <w:p>
      <w:pP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 xml:space="preserve">二、技术要求： </w:t>
      </w:r>
    </w:p>
    <w:p>
      <w:pPr>
        <w:pStyle w:val="2"/>
        <w:ind w:firstLine="720" w:firstLineChars="300"/>
      </w:pPr>
      <w:r>
        <w:rPr>
          <w:rFonts w:hint="eastAsia"/>
        </w:rPr>
        <w:t>1.过滤器材质：玻璃钢</w:t>
      </w:r>
    </w:p>
    <w:p>
      <w:pPr>
        <w:pStyle w:val="2"/>
        <w:ind w:firstLine="960" w:firstLineChars="400"/>
      </w:pPr>
      <w:r>
        <w:rPr>
          <w:rFonts w:hint="eastAsia"/>
        </w:rPr>
        <w:t>过滤器直径：DN900</w:t>
      </w:r>
    </w:p>
    <w:p>
      <w:pPr>
        <w:pStyle w:val="2"/>
        <w:ind w:firstLine="960" w:firstLineChars="400"/>
      </w:pPr>
      <w:r>
        <w:rPr>
          <w:rFonts w:hint="eastAsia"/>
        </w:rPr>
        <w:t>进水浊度：≤20NTU</w:t>
      </w:r>
    </w:p>
    <w:p>
      <w:pPr>
        <w:pStyle w:val="2"/>
        <w:ind w:firstLine="960" w:firstLineChars="400"/>
      </w:pPr>
      <w:r>
        <w:rPr>
          <w:rFonts w:hint="eastAsia"/>
        </w:rPr>
        <w:t>出水浊度：≤5NTU</w:t>
      </w:r>
    </w:p>
    <w:p>
      <w:pPr>
        <w:pStyle w:val="2"/>
        <w:ind w:firstLine="960" w:firstLineChars="400"/>
      </w:pPr>
      <w:r>
        <w:rPr>
          <w:rFonts w:hint="eastAsia"/>
        </w:rPr>
        <w:t>出水SDI值：≤5</w:t>
      </w:r>
    </w:p>
    <w:p>
      <w:pPr>
        <w:pStyle w:val="2"/>
        <w:ind w:firstLine="960" w:firstLineChars="400"/>
      </w:pPr>
      <w:r>
        <w:rPr>
          <w:rFonts w:hint="eastAsia"/>
        </w:rPr>
        <w:t>阀门：自动多路阀（流量型）</w:t>
      </w:r>
    </w:p>
    <w:p>
      <w:pPr>
        <w:pStyle w:val="2"/>
        <w:ind w:firstLine="960" w:firstLineChars="400"/>
        <w:rPr>
          <w:rFonts w:hint="eastAsia"/>
        </w:rPr>
      </w:pPr>
      <w:r>
        <w:rPr>
          <w:rFonts w:hint="eastAsia"/>
        </w:rPr>
        <w:t>设计流速：7-15m/h</w:t>
      </w:r>
    </w:p>
    <w:tbl>
      <w:tblPr>
        <w:tblStyle w:val="7"/>
        <w:tblW w:w="8647" w:type="dxa"/>
        <w:tblInd w:w="675" w:type="dxa"/>
        <w:tblLayout w:type="autofit"/>
        <w:tblCellMar>
          <w:top w:w="0" w:type="dxa"/>
          <w:left w:w="108" w:type="dxa"/>
          <w:bottom w:w="0" w:type="dxa"/>
          <w:right w:w="108" w:type="dxa"/>
        </w:tblCellMar>
      </w:tblPr>
      <w:tblGrid>
        <w:gridCol w:w="1843"/>
        <w:gridCol w:w="3402"/>
        <w:gridCol w:w="3402"/>
      </w:tblGrid>
      <w:tr>
        <w:tblPrEx>
          <w:tblCellMar>
            <w:top w:w="0" w:type="dxa"/>
            <w:left w:w="108" w:type="dxa"/>
            <w:bottom w:w="0" w:type="dxa"/>
            <w:right w:w="108" w:type="dxa"/>
          </w:tblCellMar>
        </w:tblPrEx>
        <w:trPr>
          <w:trHeight w:val="500"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型号</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材质</w:t>
            </w:r>
          </w:p>
        </w:tc>
      </w:tr>
      <w:tr>
        <w:tblPrEx>
          <w:tblCellMar>
            <w:top w:w="0" w:type="dxa"/>
            <w:left w:w="108" w:type="dxa"/>
            <w:bottom w:w="0" w:type="dxa"/>
            <w:right w:w="108" w:type="dxa"/>
          </w:tblCellMar>
        </w:tblPrEx>
        <w:trPr>
          <w:trHeight w:val="500"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控制阀</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8"/>
                <w:szCs w:val="28"/>
              </w:rPr>
            </w:pPr>
            <w:r>
              <w:rPr>
                <w:rFonts w:ascii="Times New Roman" w:hAnsi="Times New Roman" w:cs="Times New Roman"/>
                <w:color w:val="000000"/>
                <w:kern w:val="0"/>
                <w:sz w:val="28"/>
                <w:szCs w:val="28"/>
              </w:rPr>
              <w:t>3150SNXT</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工程塑料</w:t>
            </w:r>
          </w:p>
        </w:tc>
      </w:tr>
      <w:tr>
        <w:tblPrEx>
          <w:tblCellMar>
            <w:top w:w="0" w:type="dxa"/>
            <w:left w:w="108" w:type="dxa"/>
            <w:bottom w:w="0" w:type="dxa"/>
            <w:right w:w="108" w:type="dxa"/>
          </w:tblCellMar>
        </w:tblPrEx>
        <w:trPr>
          <w:trHeight w:val="500"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布水器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8"/>
                <w:szCs w:val="28"/>
              </w:rPr>
            </w:pPr>
            <w:r>
              <w:rPr>
                <w:rFonts w:ascii="Times New Roman" w:hAnsi="Times New Roman" w:cs="Times New Roman"/>
                <w:color w:val="000000"/>
                <w:kern w:val="0"/>
                <w:sz w:val="28"/>
                <w:szCs w:val="28"/>
              </w:rPr>
              <w:t>3150</w:t>
            </w:r>
            <w:r>
              <w:rPr>
                <w:rStyle w:val="13"/>
                <w:rFonts w:hint="default"/>
              </w:rPr>
              <w:t>布水</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ABS</w:t>
            </w:r>
          </w:p>
        </w:tc>
      </w:tr>
      <w:tr>
        <w:tblPrEx>
          <w:tblCellMar>
            <w:top w:w="0" w:type="dxa"/>
            <w:left w:w="108" w:type="dxa"/>
            <w:bottom w:w="0" w:type="dxa"/>
            <w:right w:w="108" w:type="dxa"/>
          </w:tblCellMar>
        </w:tblPrEx>
        <w:trPr>
          <w:trHeight w:val="500"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树脂罐</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8"/>
                <w:szCs w:val="28"/>
              </w:rPr>
            </w:pPr>
            <w:r>
              <w:rPr>
                <w:rFonts w:ascii="Times New Roman" w:hAnsi="Times New Roman" w:cs="Times New Roman"/>
                <w:color w:val="000000"/>
                <w:kern w:val="0"/>
                <w:sz w:val="28"/>
                <w:szCs w:val="28"/>
              </w:rPr>
              <w:t>900*2100</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玻璃钢</w:t>
            </w:r>
          </w:p>
        </w:tc>
      </w:tr>
    </w:tbl>
    <w:p>
      <w:pPr>
        <w:rPr>
          <w:rFonts w:ascii="仿宋_GB2312" w:hAnsi="仿宋_GB2312" w:eastAsia="仿宋_GB2312" w:cs="仿宋_GB2312"/>
          <w:sz w:val="28"/>
          <w:szCs w:val="32"/>
        </w:rPr>
      </w:pP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2.</w:t>
      </w:r>
      <w:r>
        <w:rPr>
          <w:rFonts w:ascii="仿宋_GB2312" w:hAnsi="仿宋_GB2312" w:eastAsia="仿宋_GB2312" w:cs="仿宋_GB2312"/>
          <w:sz w:val="28"/>
          <w:szCs w:val="32"/>
        </w:rPr>
        <w:t xml:space="preserve"> </w:t>
      </w:r>
      <w:r>
        <w:rPr>
          <w:rFonts w:hint="eastAsia" w:ascii="仿宋_GB2312" w:hAnsi="仿宋_GB2312" w:eastAsia="仿宋_GB2312" w:cs="仿宋_GB2312"/>
          <w:sz w:val="28"/>
          <w:szCs w:val="32"/>
        </w:rPr>
        <w:t>控制方式说明：.根据过滤产生的流量数值设置，通过多路阀实现自动反洗；灵活</w:t>
      </w:r>
      <w:r>
        <w:rPr>
          <w:rFonts w:ascii="仿宋_GB2312" w:hAnsi="仿宋_GB2312" w:eastAsia="仿宋_GB2312" w:cs="仿宋_GB2312"/>
          <w:sz w:val="28"/>
          <w:szCs w:val="32"/>
        </w:rPr>
        <w:t>调整反洗周期，确保出水浊度。</w:t>
      </w:r>
    </w:p>
    <w:p>
      <w:pPr>
        <w:ind w:firstLine="56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3.本次采购标的为整套设备，所需主、辅材及附件等中标方自备。</w:t>
      </w:r>
    </w:p>
    <w:p>
      <w:pPr>
        <w:ind w:firstLine="560" w:firstLineChars="200"/>
        <w:rPr>
          <w:rFonts w:hint="eastAsia" w:ascii="仿宋_GB2312" w:hAnsi="仿宋_GB2312" w:eastAsia="仿宋_GB2312" w:cs="仿宋_GB2312"/>
          <w:sz w:val="28"/>
          <w:szCs w:val="32"/>
          <w:highlight w:val="yellow"/>
        </w:rPr>
      </w:pPr>
    </w:p>
    <w:p>
      <w:pPr>
        <w:ind w:firstLine="560" w:firstLineChars="200"/>
        <w:rPr>
          <w:rFonts w:hint="eastAsia" w:ascii="仿宋_GB2312" w:hAnsi="仿宋_GB2312" w:eastAsia="仿宋_GB2312" w:cs="仿宋_GB2312"/>
          <w:sz w:val="28"/>
          <w:szCs w:val="32"/>
          <w:highlight w:val="yellow"/>
        </w:rPr>
      </w:pPr>
    </w:p>
    <w:p>
      <w:pPr>
        <w:ind w:firstLine="56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8"/>
          <w:szCs w:val="32"/>
          <w:highlight w:val="yellow"/>
        </w:rPr>
        <w:t>注：建议投标方到铜箔金晖路厂现场落实情况后进行投标。</w:t>
      </w:r>
    </w:p>
    <w:p>
      <w:pPr>
        <w:ind w:firstLine="560" w:firstLineChars="200"/>
        <w:rPr>
          <w:rFonts w:ascii="仿宋_GB2312" w:hAnsi="仿宋_GB2312" w:eastAsia="仿宋_GB2312" w:cs="仿宋_GB2312"/>
          <w:sz w:val="28"/>
          <w:szCs w:val="32"/>
        </w:rPr>
      </w:pPr>
      <w:r>
        <w:rPr>
          <w:rFonts w:ascii="仿宋_GB2312" w:hAnsi="仿宋_GB2312" w:eastAsia="仿宋_GB2312" w:cs="仿宋_GB2312"/>
          <w:sz w:val="28"/>
          <w:szCs w:val="32"/>
        </w:rPr>
        <w:drawing>
          <wp:inline distT="0" distB="0" distL="0" distR="0">
            <wp:extent cx="5934075" cy="3581400"/>
            <wp:effectExtent l="19050" t="0" r="9525" b="0"/>
            <wp:docPr id="1" name="图片 0" descr="微信图片_20211222144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211222144543.jpg"/>
                    <pic:cNvPicPr>
                      <a:picLocks noChangeAspect="1"/>
                    </pic:cNvPicPr>
                  </pic:nvPicPr>
                  <pic:blipFill>
                    <a:blip r:embed="rId6" cstate="print"/>
                    <a:stretch>
                      <a:fillRect/>
                    </a:stretch>
                  </pic:blipFill>
                  <pic:spPr>
                    <a:xfrm>
                      <a:off x="0" y="0"/>
                      <a:ext cx="5934075" cy="3581400"/>
                    </a:xfrm>
                    <a:prstGeom prst="rect">
                      <a:avLst/>
                    </a:prstGeom>
                  </pic:spPr>
                </pic:pic>
              </a:graphicData>
            </a:graphic>
          </wp:inline>
        </w:drawing>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三、保证条款</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1、中标方依据合同及图纸（</w:t>
      </w:r>
      <w:r>
        <w:rPr>
          <w:rFonts w:hint="eastAsia" w:ascii="仿宋_GB2312" w:hAnsi="仿宋_GB2312" w:eastAsia="仿宋_GB2312" w:cs="仿宋_GB2312"/>
          <w:b/>
          <w:sz w:val="28"/>
          <w:szCs w:val="32"/>
        </w:rPr>
        <w:t>管口方向招标方现场确定</w:t>
      </w:r>
      <w:r>
        <w:rPr>
          <w:rFonts w:hint="eastAsia" w:ascii="仿宋_GB2312" w:hAnsi="仿宋_GB2312" w:eastAsia="仿宋_GB2312" w:cs="仿宋_GB2312"/>
          <w:sz w:val="28"/>
          <w:szCs w:val="32"/>
        </w:rPr>
        <w:t>）要求加工完毕标的，运至招标方，招标方现场初步验收，如验收不合格中标方将标的物运回，并赔偿由此给招标方造成的全部损失，招标方有权自应付款中直接扣除，有权直接解除合同，且无需承担任何责任。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2、本次采购质保期一年，质保期内出现问题中标方免费维修或更换。</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四、交货期及运费</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交货期，自合同签订生效之日起</w:t>
      </w:r>
      <w:r>
        <w:rPr>
          <w:rFonts w:hint="eastAsia" w:ascii="仿宋_GB2312" w:hAnsi="仿宋_GB2312" w:eastAsia="仿宋_GB2312" w:cs="仿宋_GB2312"/>
          <w:sz w:val="28"/>
          <w:szCs w:val="32"/>
          <w:u w:val="single"/>
        </w:rPr>
        <w:t xml:space="preserve"> 10 </w:t>
      </w:r>
      <w:r>
        <w:rPr>
          <w:rFonts w:hint="eastAsia" w:ascii="仿宋_GB2312" w:hAnsi="仿宋_GB2312" w:eastAsia="仿宋_GB2312" w:cs="仿宋_GB2312"/>
          <w:sz w:val="28"/>
          <w:szCs w:val="32"/>
        </w:rPr>
        <w:t>天。中标方负责到招标方的运输及费用。如逾期到货，按合同应按合同总值的20%支付违约金给买方，招标方可直接从货款中扣除。如招标方逾期付款，按合同标的金额千分之一/日支付违约金给卖方。</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五、有关知识产权</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ind w:firstLine="560" w:firstLineChars="200"/>
        <w:rPr>
          <w:rFonts w:ascii="仿宋_GB2312" w:hAnsi="仿宋_GB2312" w:eastAsia="仿宋_GB2312" w:cs="仿宋_GB2312"/>
          <w:sz w:val="28"/>
          <w:szCs w:val="32"/>
        </w:rPr>
      </w:pPr>
    </w:p>
    <w:p>
      <w:pPr>
        <w:ind w:firstLine="560" w:firstLineChars="200"/>
        <w:rPr>
          <w:rFonts w:ascii="仿宋_GB2312" w:hAnsi="仿宋_GB2312" w:eastAsia="仿宋_GB2312" w:cs="仿宋_GB2312"/>
          <w:sz w:val="28"/>
          <w:szCs w:val="32"/>
        </w:rPr>
      </w:pPr>
    </w:p>
    <w:p>
      <w:pPr>
        <w:ind w:firstLine="560" w:firstLineChars="200"/>
        <w:rPr>
          <w:rFonts w:ascii="仿宋_GB2312" w:hAnsi="仿宋_GB2312" w:eastAsia="仿宋_GB2312" w:cs="仿宋_GB2312"/>
          <w:sz w:val="28"/>
          <w:szCs w:val="32"/>
        </w:rPr>
      </w:pPr>
    </w:p>
    <w:p>
      <w:pPr>
        <w:ind w:firstLine="560" w:firstLineChars="200"/>
        <w:rPr>
          <w:rFonts w:ascii="仿宋_GB2312" w:hAnsi="仿宋_GB2312" w:eastAsia="仿宋_GB2312" w:cs="仿宋_GB2312"/>
          <w:sz w:val="28"/>
          <w:szCs w:val="32"/>
        </w:rPr>
      </w:pPr>
    </w:p>
    <w:p>
      <w:pPr>
        <w:spacing w:line="360" w:lineRule="auto"/>
        <w:jc w:val="left"/>
        <w:rPr>
          <w:rFonts w:ascii="仿宋_GB2312" w:hAnsi="仿宋_GB2312" w:eastAsia="仿宋_GB2312" w:cs="仿宋_GB2312"/>
          <w:sz w:val="28"/>
          <w:szCs w:val="28"/>
        </w:rPr>
      </w:pP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4"/>
          <w:jc w:val="center"/>
        </w:pPr>
        <w:r>
          <w:fldChar w:fldCharType="begin"/>
        </w:r>
        <w:r>
          <w:instrText xml:space="preserve">PAGE   \* MERGEFORMAT</w:instrText>
        </w:r>
        <w:r>
          <w:fldChar w:fldCharType="separate"/>
        </w:r>
        <w:r>
          <w:rPr>
            <w:lang w:val="zh-CN"/>
          </w:rPr>
          <w:t>7</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4D681A"/>
    <w:multiLevelType w:val="multilevel"/>
    <w:tmpl w:val="184D681A"/>
    <w:lvl w:ilvl="0" w:tentative="0">
      <w:start w:val="5"/>
      <w:numFmt w:val="japaneseCounting"/>
      <w:lvlText w:val="%1、"/>
      <w:lvlJc w:val="left"/>
      <w:pPr>
        <w:ind w:left="1280" w:hanging="720"/>
      </w:pPr>
      <w:rPr>
        <w:rFonts w:hint="default"/>
        <w:b/>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5AF4EEE7"/>
    <w:multiLevelType w:val="singleLevel"/>
    <w:tmpl w:val="5AF4EEE7"/>
    <w:lvl w:ilvl="0" w:tentative="0">
      <w:start w:val="1"/>
      <w:numFmt w:val="chineseCounting"/>
      <w:suff w:val="nothing"/>
      <w:lvlText w:val="%1、"/>
      <w:lvlJc w:val="left"/>
    </w:lvl>
  </w:abstractNum>
  <w:abstractNum w:abstractNumId="2">
    <w:nsid w:val="5AF4F296"/>
    <w:multiLevelType w:val="singleLevel"/>
    <w:tmpl w:val="5AF4F296"/>
    <w:lvl w:ilvl="0" w:tentative="0">
      <w:start w:val="1"/>
      <w:numFmt w:val="decimal"/>
      <w:suff w:val="nothing"/>
      <w:lvlText w:val="%1、"/>
      <w:lvlJc w:val="left"/>
    </w:lvl>
  </w:abstractNum>
  <w:abstractNum w:abstractNumId="3">
    <w:nsid w:val="5AF4F74F"/>
    <w:multiLevelType w:val="singleLevel"/>
    <w:tmpl w:val="5AF4F74F"/>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D70820"/>
    <w:rsid w:val="00013337"/>
    <w:rsid w:val="000140A9"/>
    <w:rsid w:val="0002639C"/>
    <w:rsid w:val="00036F46"/>
    <w:rsid w:val="00085DEC"/>
    <w:rsid w:val="000A04FB"/>
    <w:rsid w:val="000D5537"/>
    <w:rsid w:val="000E2334"/>
    <w:rsid w:val="000F1A23"/>
    <w:rsid w:val="000F2FB0"/>
    <w:rsid w:val="00107A66"/>
    <w:rsid w:val="00116631"/>
    <w:rsid w:val="001217FC"/>
    <w:rsid w:val="0013572F"/>
    <w:rsid w:val="00142A98"/>
    <w:rsid w:val="00153B2F"/>
    <w:rsid w:val="00161E13"/>
    <w:rsid w:val="001815FF"/>
    <w:rsid w:val="001D0E12"/>
    <w:rsid w:val="001E6B98"/>
    <w:rsid w:val="00205A36"/>
    <w:rsid w:val="0021096D"/>
    <w:rsid w:val="00242018"/>
    <w:rsid w:val="002427B8"/>
    <w:rsid w:val="00286A1B"/>
    <w:rsid w:val="002E04CD"/>
    <w:rsid w:val="003134C2"/>
    <w:rsid w:val="0031742A"/>
    <w:rsid w:val="00331303"/>
    <w:rsid w:val="00337397"/>
    <w:rsid w:val="00385165"/>
    <w:rsid w:val="003A42FB"/>
    <w:rsid w:val="00400BAA"/>
    <w:rsid w:val="00402401"/>
    <w:rsid w:val="004031EB"/>
    <w:rsid w:val="00411A01"/>
    <w:rsid w:val="00434F86"/>
    <w:rsid w:val="00447816"/>
    <w:rsid w:val="0048716E"/>
    <w:rsid w:val="00496BF6"/>
    <w:rsid w:val="004C1FC6"/>
    <w:rsid w:val="004F2EB8"/>
    <w:rsid w:val="00517349"/>
    <w:rsid w:val="00541F78"/>
    <w:rsid w:val="00543389"/>
    <w:rsid w:val="00544194"/>
    <w:rsid w:val="00580A70"/>
    <w:rsid w:val="005B5E50"/>
    <w:rsid w:val="005D1CFE"/>
    <w:rsid w:val="005E6B4B"/>
    <w:rsid w:val="005F4309"/>
    <w:rsid w:val="0060289F"/>
    <w:rsid w:val="00605168"/>
    <w:rsid w:val="00626C84"/>
    <w:rsid w:val="00662F92"/>
    <w:rsid w:val="00670B15"/>
    <w:rsid w:val="00674491"/>
    <w:rsid w:val="0069446D"/>
    <w:rsid w:val="006A6992"/>
    <w:rsid w:val="006D6272"/>
    <w:rsid w:val="007106C3"/>
    <w:rsid w:val="0074530B"/>
    <w:rsid w:val="00746246"/>
    <w:rsid w:val="00755BF5"/>
    <w:rsid w:val="007576FD"/>
    <w:rsid w:val="00764464"/>
    <w:rsid w:val="007858B7"/>
    <w:rsid w:val="007C5761"/>
    <w:rsid w:val="007D3EC9"/>
    <w:rsid w:val="00810526"/>
    <w:rsid w:val="0081621E"/>
    <w:rsid w:val="008269DC"/>
    <w:rsid w:val="0083289B"/>
    <w:rsid w:val="00855B42"/>
    <w:rsid w:val="00877824"/>
    <w:rsid w:val="00894F8F"/>
    <w:rsid w:val="0089579B"/>
    <w:rsid w:val="00912E27"/>
    <w:rsid w:val="0091665D"/>
    <w:rsid w:val="00924D21"/>
    <w:rsid w:val="0093316C"/>
    <w:rsid w:val="0095248A"/>
    <w:rsid w:val="00953758"/>
    <w:rsid w:val="00957600"/>
    <w:rsid w:val="00963A40"/>
    <w:rsid w:val="009650B7"/>
    <w:rsid w:val="00981D7E"/>
    <w:rsid w:val="00985EFB"/>
    <w:rsid w:val="009B67B8"/>
    <w:rsid w:val="009D5B70"/>
    <w:rsid w:val="009E1157"/>
    <w:rsid w:val="009E1A4D"/>
    <w:rsid w:val="009E460B"/>
    <w:rsid w:val="00A25330"/>
    <w:rsid w:val="00A309E0"/>
    <w:rsid w:val="00A30C50"/>
    <w:rsid w:val="00A37EC4"/>
    <w:rsid w:val="00A41476"/>
    <w:rsid w:val="00A6047A"/>
    <w:rsid w:val="00A80462"/>
    <w:rsid w:val="00A94772"/>
    <w:rsid w:val="00AA23D7"/>
    <w:rsid w:val="00AA3607"/>
    <w:rsid w:val="00AC0A0D"/>
    <w:rsid w:val="00AD5651"/>
    <w:rsid w:val="00B02199"/>
    <w:rsid w:val="00B02A04"/>
    <w:rsid w:val="00B10A69"/>
    <w:rsid w:val="00B11472"/>
    <w:rsid w:val="00B142FC"/>
    <w:rsid w:val="00B24BF2"/>
    <w:rsid w:val="00B37251"/>
    <w:rsid w:val="00B637ED"/>
    <w:rsid w:val="00B75E47"/>
    <w:rsid w:val="00B85232"/>
    <w:rsid w:val="00B858A1"/>
    <w:rsid w:val="00BE0350"/>
    <w:rsid w:val="00BE2C08"/>
    <w:rsid w:val="00C327A2"/>
    <w:rsid w:val="00C32E93"/>
    <w:rsid w:val="00C33896"/>
    <w:rsid w:val="00C354EF"/>
    <w:rsid w:val="00C72FB7"/>
    <w:rsid w:val="00C756C1"/>
    <w:rsid w:val="00C75E1E"/>
    <w:rsid w:val="00C77018"/>
    <w:rsid w:val="00CA062E"/>
    <w:rsid w:val="00CD3A84"/>
    <w:rsid w:val="00D03E1B"/>
    <w:rsid w:val="00D03F58"/>
    <w:rsid w:val="00D05F1D"/>
    <w:rsid w:val="00D23019"/>
    <w:rsid w:val="00D3366E"/>
    <w:rsid w:val="00D377E1"/>
    <w:rsid w:val="00D67CFC"/>
    <w:rsid w:val="00D813B1"/>
    <w:rsid w:val="00D83A4C"/>
    <w:rsid w:val="00D90689"/>
    <w:rsid w:val="00DB7EA8"/>
    <w:rsid w:val="00DE7334"/>
    <w:rsid w:val="00E015C0"/>
    <w:rsid w:val="00E058B5"/>
    <w:rsid w:val="00E108FE"/>
    <w:rsid w:val="00E15EAC"/>
    <w:rsid w:val="00E225CA"/>
    <w:rsid w:val="00E4363B"/>
    <w:rsid w:val="00E602BD"/>
    <w:rsid w:val="00E66C67"/>
    <w:rsid w:val="00E80FFB"/>
    <w:rsid w:val="00E95A12"/>
    <w:rsid w:val="00EF3A07"/>
    <w:rsid w:val="00F04AE1"/>
    <w:rsid w:val="00F1223D"/>
    <w:rsid w:val="00F12F4E"/>
    <w:rsid w:val="00F20309"/>
    <w:rsid w:val="00F80AE0"/>
    <w:rsid w:val="00F9392B"/>
    <w:rsid w:val="00F94F76"/>
    <w:rsid w:val="00FD03BA"/>
    <w:rsid w:val="00FF037C"/>
    <w:rsid w:val="00FF5E3A"/>
    <w:rsid w:val="00FF7560"/>
    <w:rsid w:val="052F7BE9"/>
    <w:rsid w:val="07E354E8"/>
    <w:rsid w:val="098B184A"/>
    <w:rsid w:val="0DB77E27"/>
    <w:rsid w:val="107E1436"/>
    <w:rsid w:val="107F16C6"/>
    <w:rsid w:val="14D70820"/>
    <w:rsid w:val="18AB3EEC"/>
    <w:rsid w:val="199D333E"/>
    <w:rsid w:val="1E0848A5"/>
    <w:rsid w:val="1E3F18D8"/>
    <w:rsid w:val="1F456344"/>
    <w:rsid w:val="219A24C7"/>
    <w:rsid w:val="233D6EE4"/>
    <w:rsid w:val="23557DEB"/>
    <w:rsid w:val="24231D8E"/>
    <w:rsid w:val="25915A0E"/>
    <w:rsid w:val="261A4D4C"/>
    <w:rsid w:val="27C33CA0"/>
    <w:rsid w:val="2A6A5A19"/>
    <w:rsid w:val="2B5108D7"/>
    <w:rsid w:val="2B7C2FDF"/>
    <w:rsid w:val="2BE66046"/>
    <w:rsid w:val="31B30842"/>
    <w:rsid w:val="3202624E"/>
    <w:rsid w:val="34377F50"/>
    <w:rsid w:val="3E25152A"/>
    <w:rsid w:val="3E775B3D"/>
    <w:rsid w:val="3FFA719D"/>
    <w:rsid w:val="406C535E"/>
    <w:rsid w:val="45011451"/>
    <w:rsid w:val="49586F36"/>
    <w:rsid w:val="4AC23C30"/>
    <w:rsid w:val="4CA95EBA"/>
    <w:rsid w:val="4DFC6236"/>
    <w:rsid w:val="51AD6F01"/>
    <w:rsid w:val="52D954E2"/>
    <w:rsid w:val="538B5D6C"/>
    <w:rsid w:val="546759DA"/>
    <w:rsid w:val="547C4E2A"/>
    <w:rsid w:val="54C67B58"/>
    <w:rsid w:val="5D054434"/>
    <w:rsid w:val="5EA87FAD"/>
    <w:rsid w:val="636546D8"/>
    <w:rsid w:val="64AB558A"/>
    <w:rsid w:val="6DC2661B"/>
    <w:rsid w:val="712C5A62"/>
    <w:rsid w:val="7452317D"/>
    <w:rsid w:val="753D7DC7"/>
    <w:rsid w:val="75936E93"/>
    <w:rsid w:val="760A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99"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unhideWhenUsed/>
    <w:uiPriority w:val="99"/>
    <w:pPr>
      <w:spacing w:after="120" w:line="360" w:lineRule="auto"/>
    </w:pPr>
    <w:rPr>
      <w:rFonts w:ascii="Times New Roman" w:hAnsi="Times New Roman" w:cs="Times New Roman"/>
      <w:sz w:val="24"/>
    </w:rPr>
  </w:style>
  <w:style w:type="paragraph" w:styleId="3">
    <w:name w:val="Balloon Text"/>
    <w:basedOn w:val="1"/>
    <w:link w:val="12"/>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9">
    <w:name w:val="页眉 Char"/>
    <w:basedOn w:val="8"/>
    <w:link w:val="5"/>
    <w:qFormat/>
    <w:uiPriority w:val="0"/>
    <w:rPr>
      <w:rFonts w:eastAsia="宋体"/>
      <w:kern w:val="2"/>
      <w:sz w:val="18"/>
      <w:szCs w:val="18"/>
    </w:rPr>
  </w:style>
  <w:style w:type="character" w:customStyle="1" w:styleId="10">
    <w:name w:val="页脚 Char"/>
    <w:basedOn w:val="8"/>
    <w:link w:val="4"/>
    <w:qFormat/>
    <w:uiPriority w:val="99"/>
    <w:rPr>
      <w:rFonts w:eastAsia="宋体"/>
      <w:kern w:val="2"/>
      <w:sz w:val="18"/>
      <w:szCs w:val="18"/>
    </w:rPr>
  </w:style>
  <w:style w:type="paragraph" w:styleId="11">
    <w:name w:val="List Paragraph"/>
    <w:basedOn w:val="1"/>
    <w:qFormat/>
    <w:uiPriority w:val="99"/>
    <w:pPr>
      <w:ind w:firstLine="420" w:firstLineChars="200"/>
    </w:pPr>
  </w:style>
  <w:style w:type="character" w:customStyle="1" w:styleId="12">
    <w:name w:val="批注框文本 Char"/>
    <w:basedOn w:val="8"/>
    <w:link w:val="3"/>
    <w:qFormat/>
    <w:uiPriority w:val="0"/>
    <w:rPr>
      <w:rFonts w:eastAsia="宋体"/>
      <w:kern w:val="2"/>
      <w:sz w:val="18"/>
      <w:szCs w:val="18"/>
    </w:rPr>
  </w:style>
  <w:style w:type="character" w:customStyle="1" w:styleId="13">
    <w:name w:val="font21"/>
    <w:basedOn w:val="8"/>
    <w:qFormat/>
    <w:uiPriority w:val="0"/>
    <w:rPr>
      <w:rFonts w:hint="eastAsia" w:ascii="宋体" w:hAnsi="宋体" w:eastAsia="宋体" w:cs="宋体"/>
      <w:color w:val="000000"/>
      <w:sz w:val="28"/>
      <w:szCs w:val="28"/>
      <w:u w:val="none"/>
    </w:rPr>
  </w:style>
  <w:style w:type="character" w:customStyle="1" w:styleId="14">
    <w:name w:val="正文文本 Char"/>
    <w:basedOn w:val="8"/>
    <w:link w:val="2"/>
    <w:qFormat/>
    <w:uiPriority w:val="99"/>
    <w:rPr>
      <w:rFonts w:ascii="Times New Roman"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367</Words>
  <Characters>2098</Characters>
  <Lines>17</Lines>
  <Paragraphs>4</Paragraphs>
  <TotalTime>1</TotalTime>
  <ScaleCrop>false</ScaleCrop>
  <LinksUpToDate>false</LinksUpToDate>
  <CharactersWithSpaces>2461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Administrator</cp:lastModifiedBy>
  <cp:lastPrinted>2018-08-20T02:56:00Z</cp:lastPrinted>
  <dcterms:modified xsi:type="dcterms:W3CDTF">2021-12-23T07:20:10Z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DCD46DCB9A784A01B3022644DA1C85FD</vt:lpwstr>
  </property>
</Properties>
</file>