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84"/>
          <w:szCs w:val="84"/>
        </w:rPr>
      </w:pPr>
    </w:p>
    <w:p>
      <w:pPr>
        <w:spacing w:line="360" w:lineRule="auto"/>
        <w:ind w:left="-359" w:leftChars="-171"/>
        <w:jc w:val="center"/>
        <w:rPr>
          <w:rFonts w:hint="eastAsia" w:ascii="宋体" w:hAnsi="宋体" w:eastAsia="宋体" w:cs="宋体"/>
          <w:b/>
          <w:sz w:val="84"/>
          <w:szCs w:val="84"/>
        </w:rPr>
      </w:pPr>
      <w:r>
        <w:rPr>
          <w:rFonts w:hint="eastAsia" w:ascii="宋体" w:hAnsi="宋体" w:eastAsia="宋体" w:cs="宋体"/>
          <w:b/>
          <w:sz w:val="84"/>
          <w:szCs w:val="84"/>
        </w:rPr>
        <w:t xml:space="preserve">   </w:t>
      </w:r>
      <w:r>
        <w:rPr>
          <w:rFonts w:hint="eastAsia" w:ascii="宋体" w:hAnsi="宋体" w:eastAsia="宋体" w:cs="宋体"/>
          <w:b/>
          <w:bCs w:val="0"/>
          <w:sz w:val="84"/>
          <w:szCs w:val="84"/>
        </w:rPr>
        <w:t>招标文书</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10"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pStyle w:val="2"/>
        <w:shd w:val="clear" w:color="auto" w:fill="FFFFFF"/>
        <w:wordWrap w:val="0"/>
        <w:spacing w:before="0" w:beforeAutospacing="0" w:after="251" w:afterAutospacing="0" w:line="469" w:lineRule="atLeast"/>
        <w:rPr>
          <w:rFonts w:asciiTheme="minorHAnsi" w:hAnsiTheme="minorHAnsi" w:cstheme="minorBidi"/>
          <w:b w:val="0"/>
          <w:bCs w:val="0"/>
          <w:spacing w:val="10"/>
          <w:kern w:val="2"/>
          <w:sz w:val="28"/>
          <w:szCs w:val="28"/>
        </w:rPr>
      </w:pPr>
    </w:p>
    <w:p/>
    <w:p>
      <w:pPr>
        <w:pStyle w:val="2"/>
        <w:shd w:val="clear" w:color="auto" w:fill="FFFFFF"/>
        <w:spacing w:before="0" w:beforeAutospacing="0" w:after="251" w:afterAutospacing="0" w:line="469" w:lineRule="atLeast"/>
        <w:ind w:firstLine="1204" w:firstLineChars="400"/>
        <w:rPr>
          <w:rFonts w:hint="eastAsia" w:cs="Arial" w:asciiTheme="minorEastAsia" w:hAnsiTheme="minorEastAsia"/>
          <w:color w:val="000000"/>
          <w:sz w:val="28"/>
          <w:szCs w:val="28"/>
          <w:u w:val="single"/>
        </w:rPr>
      </w:pPr>
      <w:r>
        <w:rPr>
          <w:rFonts w:hint="eastAsia" w:ascii="仿宋" w:hAnsi="仿宋" w:eastAsia="仿宋" w:cs="仿宋"/>
          <w:spacing w:val="10"/>
          <w:sz w:val="28"/>
          <w:szCs w:val="28"/>
        </w:rPr>
        <w:t>项目名称：</w:t>
      </w:r>
      <w:bookmarkStart w:id="0" w:name="OLE_LINK3"/>
      <w:bookmarkStart w:id="1" w:name="OLE_LINK4"/>
      <w:bookmarkStart w:id="2" w:name="OLE_LINK5"/>
      <w:r>
        <w:rPr>
          <w:rFonts w:hint="eastAsia" w:cs="Arial" w:asciiTheme="minorEastAsia" w:hAnsiTheme="minorEastAsia"/>
          <w:color w:val="000000"/>
          <w:sz w:val="28"/>
          <w:szCs w:val="28"/>
          <w:u w:val="single"/>
        </w:rPr>
        <w:t>铜箔品质提升项目2套背拉式阳极板</w:t>
      </w:r>
      <w:bookmarkEnd w:id="0"/>
      <w:bookmarkEnd w:id="1"/>
      <w:bookmarkEnd w:id="2"/>
      <w:r>
        <w:rPr>
          <w:rFonts w:hint="eastAsia" w:cs="Arial" w:asciiTheme="minorEastAsia" w:hAnsiTheme="minorEastAsia"/>
          <w:color w:val="000000"/>
          <w:sz w:val="28"/>
          <w:szCs w:val="28"/>
          <w:u w:val="single"/>
        </w:rPr>
        <w:t>加工项目</w:t>
      </w:r>
    </w:p>
    <w:p>
      <w:pPr>
        <w:pStyle w:val="2"/>
        <w:shd w:val="clear" w:color="auto" w:fill="FFFFFF"/>
        <w:spacing w:before="0" w:beforeAutospacing="0" w:after="251" w:afterAutospacing="0" w:line="469" w:lineRule="atLeast"/>
        <w:ind w:firstLine="2108" w:firstLineChars="700"/>
        <w:rPr>
          <w:rFonts w:ascii="Verdana" w:hAnsi="Verdana"/>
          <w:b w:val="0"/>
          <w:bCs w:val="0"/>
          <w:color w:val="333333"/>
          <w:sz w:val="42"/>
          <w:szCs w:val="42"/>
        </w:rPr>
      </w:pPr>
      <w:r>
        <w:rPr>
          <w:rFonts w:hint="eastAsia" w:ascii="仿宋" w:hAnsi="仿宋" w:eastAsia="仿宋" w:cs="仿宋"/>
          <w:spacing w:val="10"/>
          <w:sz w:val="28"/>
          <w:szCs w:val="28"/>
        </w:rPr>
        <w:t>招标单位：</w:t>
      </w:r>
      <w:r>
        <w:rPr>
          <w:rFonts w:hint="eastAsia" w:ascii="仿宋" w:hAnsi="仿宋" w:eastAsia="仿宋" w:cs="仿宋"/>
          <w:spacing w:val="10"/>
          <w:sz w:val="28"/>
          <w:szCs w:val="28"/>
          <w:u w:val="single"/>
        </w:rPr>
        <w:t>山东金宝电子股份有限公司</w:t>
      </w:r>
    </w:p>
    <w:p>
      <w:pPr>
        <w:spacing w:line="360" w:lineRule="auto"/>
        <w:ind w:firstLine="2700" w:firstLineChars="900"/>
        <w:jc w:val="left"/>
        <w:rPr>
          <w:rFonts w:ascii="仿宋" w:hAnsi="仿宋" w:eastAsia="仿宋" w:cs="仿宋"/>
          <w:spacing w:val="10"/>
          <w:sz w:val="28"/>
          <w:szCs w:val="28"/>
        </w:rPr>
      </w:pPr>
    </w:p>
    <w:p>
      <w:pPr>
        <w:spacing w:line="360" w:lineRule="auto"/>
        <w:ind w:firstLine="3600" w:firstLineChars="12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2021年12月23日          </w:t>
      </w:r>
    </w:p>
    <w:p>
      <w:pPr>
        <w:spacing w:line="360" w:lineRule="auto"/>
        <w:ind w:right="1071" w:firstLine="1680" w:firstLineChars="600"/>
        <w:jc w:val="center"/>
        <w:rPr>
          <w:rFonts w:ascii="宋体" w:hAnsi="宋体"/>
          <w:b/>
          <w:bCs/>
          <w:sz w:val="28"/>
          <w:szCs w:val="28"/>
        </w:rPr>
      </w:pPr>
      <w:r>
        <w:rPr>
          <w:sz w:val="28"/>
          <w:szCs w:val="28"/>
        </w:rPr>
        <w:br w:type="page"/>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cs="Arial" w:asciiTheme="minorEastAsia" w:hAnsiTheme="minorEastAsia"/>
          <w:b/>
          <w:bCs/>
          <w:color w:val="000000"/>
          <w:sz w:val="28"/>
          <w:szCs w:val="28"/>
          <w:u w:val="single"/>
        </w:rPr>
        <w:t>铜箔品质提升项目2套背拉式阳极板加工项目</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cs="Arial" w:asciiTheme="minorEastAsia" w:hAnsiTheme="minorEastAsia"/>
          <w:color w:val="000000"/>
          <w:sz w:val="28"/>
          <w:szCs w:val="28"/>
        </w:rPr>
        <w:t>铜箔品质提升项目2套背拉式阳极板加工项目</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r>
        <w:rPr>
          <w:rFonts w:hint="eastAsia" w:ascii="仿宋_GB2312" w:eastAsia="仿宋_GB2312"/>
          <w:b/>
          <w:color w:val="C00000"/>
          <w:sz w:val="28"/>
          <w:szCs w:val="28"/>
          <w:lang w:val="en-US" w:eastAsia="zh-CN"/>
        </w:rPr>
        <w:t>2021.12.23-2021.12.27</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2021.12.23-2021.12.27</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四、技术联系人：刘言刚</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w:t>
      </w:r>
      <w:r>
        <w:rPr>
          <w:rFonts w:hint="eastAsia" w:ascii="仿宋_GB2312" w:hAnsi="宋体" w:eastAsia="仿宋_GB2312"/>
          <w:sz w:val="28"/>
          <w:szCs w:val="28"/>
        </w:rPr>
        <w:t>13053500037</w:t>
      </w:r>
      <w:bookmarkStart w:id="5" w:name="_GoBack"/>
      <w:bookmarkEnd w:id="5"/>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13053500037@</w:t>
      </w:r>
      <w:r>
        <w:rPr>
          <w:rFonts w:ascii="仿宋_GB2312" w:hAnsi="宋体" w:eastAsia="仿宋_GB2312"/>
          <w:sz w:val="28"/>
          <w:szCs w:val="28"/>
        </w:rPr>
        <w:t>1</w:t>
      </w:r>
      <w:r>
        <w:rPr>
          <w:rFonts w:hint="eastAsia" w:ascii="仿宋_GB2312" w:hAnsi="宋体" w:eastAsia="仿宋_GB2312"/>
          <w:sz w:val="28"/>
          <w:szCs w:val="28"/>
        </w:rPr>
        <w:t>63.com</w:t>
      </w:r>
    </w:p>
    <w:p>
      <w:pPr>
        <w:spacing w:line="360" w:lineRule="auto"/>
        <w:ind w:right="70" w:firstLine="562" w:firstLineChars="200"/>
        <w:rPr>
          <w:rFonts w:hint="default" w:ascii="仿宋_GB2312" w:hAnsi="宋体" w:eastAsia="仿宋_GB2312"/>
          <w:color w:val="C00000"/>
          <w:sz w:val="28"/>
          <w:szCs w:val="28"/>
          <w:lang w:val="en-US" w:eastAsia="zh-CN"/>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rPr>
        <w:t>商务</w:t>
      </w:r>
      <w:r>
        <w:rPr>
          <w:rFonts w:hint="eastAsia" w:ascii="仿宋_GB2312" w:hAnsi="宋体" w:eastAsia="仿宋_GB2312"/>
          <w:b/>
          <w:bCs/>
          <w:color w:val="C00000"/>
          <w:sz w:val="28"/>
          <w:szCs w:val="28"/>
          <w:lang w:eastAsia="zh-CN"/>
        </w:rPr>
        <w:t>投标</w:t>
      </w:r>
      <w:r>
        <w:rPr>
          <w:rFonts w:hint="eastAsia" w:ascii="仿宋_GB2312" w:hAnsi="宋体" w:eastAsia="仿宋_GB2312"/>
          <w:b/>
          <w:bCs/>
          <w:color w:val="C00000"/>
          <w:sz w:val="28"/>
          <w:szCs w:val="28"/>
        </w:rPr>
        <w:t>联系人：</w:t>
      </w:r>
      <w:r>
        <w:rPr>
          <w:rFonts w:hint="eastAsia" w:ascii="仿宋_GB2312" w:hAnsi="宋体" w:eastAsia="仿宋_GB2312"/>
          <w:b/>
          <w:bCs/>
          <w:color w:val="C00000"/>
          <w:sz w:val="28"/>
          <w:szCs w:val="28"/>
          <w:lang w:eastAsia="zh-CN"/>
        </w:rPr>
        <w:t>秦忠菊</w:t>
      </w:r>
      <w:r>
        <w:rPr>
          <w:rFonts w:hint="eastAsia" w:ascii="仿宋_GB2312" w:hAnsi="宋体" w:eastAsia="仿宋_GB2312"/>
          <w:b/>
          <w:bCs/>
          <w:color w:val="C00000"/>
          <w:sz w:val="28"/>
          <w:szCs w:val="28"/>
          <w:lang w:val="en-US" w:eastAsia="zh-CN"/>
        </w:rPr>
        <w:t xml:space="preserve">  15684066196</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山东省招远市国大路268号1楼采购部</w:t>
      </w:r>
    </w:p>
    <w:p>
      <w:pPr>
        <w:spacing w:line="360" w:lineRule="auto"/>
        <w:ind w:right="70" w:firstLine="562" w:firstLineChars="200"/>
        <w:rPr>
          <w:rFonts w:ascii="仿宋_GB2312" w:hAnsi="仿宋_GB2312" w:eastAsia="仿宋_GB2312" w:cs="仿宋_GB2312"/>
          <w:sz w:val="28"/>
          <w:szCs w:val="28"/>
        </w:rPr>
      </w:pPr>
      <w:r>
        <w:rPr>
          <w:rFonts w:hint="eastAsia" w:ascii="仿宋_GB2312" w:hAnsi="宋体" w:eastAsia="仿宋_GB2312"/>
          <w:b/>
          <w:bCs/>
          <w:sz w:val="28"/>
          <w:szCs w:val="28"/>
        </w:rPr>
        <w:t>七、</w:t>
      </w:r>
      <w:r>
        <w:rPr>
          <w:rFonts w:hint="eastAsia" w:ascii="仿宋_GB2312" w:hAnsi="宋体" w:eastAsia="仿宋_GB2312"/>
          <w:b/>
          <w:bCs/>
          <w:sz w:val="28"/>
          <w:szCs w:val="28"/>
          <w:lang w:eastAsia="zh-CN"/>
        </w:rPr>
        <w:t>投标邮箱</w:t>
      </w:r>
      <w:r>
        <w:rPr>
          <w:rFonts w:hint="eastAsia" w:ascii="仿宋_GB2312" w:hAnsi="宋体" w:eastAsia="仿宋_GB2312"/>
          <w:b/>
          <w:bCs/>
          <w:sz w:val="28"/>
          <w:szCs w:val="28"/>
        </w:rPr>
        <w:t>：</w:t>
      </w:r>
      <w:r>
        <w:rPr>
          <w:rFonts w:hint="eastAsia"/>
          <w:color w:val="auto"/>
          <w:sz w:val="28"/>
          <w:szCs w:val="36"/>
          <w:lang w:val="en-US" w:eastAsia="zh-CN"/>
        </w:rPr>
        <w:t>jinbaocg@chinajinbao.com同时抄送lwenling@chinajinbao.com和sdjbzb@163.com    报价方式：“XXX公司+XXX项目报价”</w:t>
      </w:r>
    </w:p>
    <w:p>
      <w:pPr>
        <w:spacing w:line="360" w:lineRule="auto"/>
        <w:ind w:right="70" w:firstLine="560" w:firstLineChars="200"/>
        <w:rPr>
          <w:rFonts w:ascii="仿宋_GB2312" w:hAnsi="宋体" w:eastAsia="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、投标人应按照招标文件的要求报价，保证所提供的产品满足招标人所提出的全部要求，并对所有资料的真实性承担法律责任。</w:t>
      </w:r>
    </w:p>
    <w:p>
      <w:pPr>
        <w:spacing w:line="360" w:lineRule="auto"/>
        <w:ind w:right="70" w:firstLine="642"/>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投标内容与招标文件存在明显差异或不符的；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p>
    <w:p>
      <w:pPr>
        <w:spacing w:line="360" w:lineRule="auto"/>
        <w:ind w:right="70"/>
        <w:rPr>
          <w:rFonts w:ascii="仿宋_GB2312" w:hAnsi="宋体" w:eastAsia="仿宋_GB2312"/>
          <w:sz w:val="28"/>
          <w:szCs w:val="28"/>
        </w:rPr>
      </w:pPr>
    </w:p>
    <w:p>
      <w:pPr>
        <w:spacing w:line="360" w:lineRule="auto"/>
        <w:ind w:right="70"/>
        <w:rPr>
          <w:rFonts w:ascii="仿宋_GB2312" w:hAnsi="宋体" w:eastAsia="仿宋_GB2312"/>
          <w:sz w:val="28"/>
          <w:szCs w:val="28"/>
        </w:rPr>
      </w:pPr>
    </w:p>
    <w:p>
      <w:pPr>
        <w:spacing w:line="360" w:lineRule="auto"/>
        <w:ind w:right="70"/>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1、付款形式：银行承兑汇票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firstLine="548" w:firstLineChars="196"/>
        <w:rPr>
          <w:rFonts w:ascii="仿宋_GB2312" w:eastAsia="仿宋_GB2312"/>
          <w:b/>
          <w:sz w:val="28"/>
          <w:szCs w:val="28"/>
        </w:rPr>
      </w:pPr>
      <w:r>
        <w:rPr>
          <w:rFonts w:hint="eastAsia" w:ascii="仿宋_GB2312" w:eastAsia="仿宋_GB2312"/>
          <w:sz w:val="28"/>
          <w:szCs w:val="28"/>
          <w:highlight w:val="yellow"/>
        </w:rPr>
        <w:t>本合同付款方式为银行承兑汇票，合同生效后，</w:t>
      </w:r>
      <w:r>
        <w:rPr>
          <w:rFonts w:hint="eastAsia" w:ascii="仿宋_GB2312" w:hAnsi="宋体" w:eastAsia="仿宋_GB2312"/>
          <w:sz w:val="28"/>
          <w:szCs w:val="28"/>
          <w:highlight w:val="yellow"/>
        </w:rPr>
        <w:t>甲方预付30％货款，余款根据实际使用寿命据实结算，乙方收款后15日内必须开具13%增值税专用发票给甲方。</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二、交货期要求及运费</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w:t>
      </w:r>
      <w:bookmarkStart w:id="3" w:name="OLE_LINK2"/>
      <w:bookmarkStart w:id="4" w:name="OLE_LINK1"/>
      <w:r>
        <w:rPr>
          <w:rFonts w:hint="eastAsia" w:ascii="仿宋_GB2312" w:hAnsi="宋体" w:eastAsia="仿宋_GB2312"/>
          <w:sz w:val="28"/>
          <w:szCs w:val="28"/>
        </w:rPr>
        <w:t>合同签订后45日内</w:t>
      </w:r>
      <w:bookmarkEnd w:id="3"/>
      <w:bookmarkEnd w:id="4"/>
      <w:r>
        <w:rPr>
          <w:rFonts w:hint="eastAsia" w:ascii="仿宋_GB2312" w:hAnsi="宋体" w:eastAsia="仿宋_GB2312"/>
          <w:sz w:val="28"/>
          <w:szCs w:val="28"/>
        </w:rPr>
        <w:t>。</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2、交货地点：招远市金晖路229号。</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3、运费：中标方负责到采购方的运输及费用。</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4、如乙方逾期到货，按合同标的金额千分之一/日扣除违约金，甲方可直</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接从货款中扣除，甲方有权直接解除合同，乙方赔偿由此给甲方造成的全部损失。</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spacing w:beforeLines="50"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1、标的物</w:t>
      </w:r>
    </w:p>
    <w:p>
      <w:pPr>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铜箔品质提升项目2套背拉式阳极板加工。</w:t>
      </w:r>
    </w:p>
    <w:p>
      <w:pPr>
        <w:spacing w:line="360" w:lineRule="auto"/>
        <w:ind w:firstLine="560" w:firstLineChars="200"/>
        <w:rPr>
          <w:rFonts w:ascii="仿宋_GB2312" w:hAnsi="宋体" w:eastAsia="仿宋_GB2312"/>
          <w:sz w:val="28"/>
          <w:szCs w:val="28"/>
        </w:rPr>
      </w:pPr>
      <w:r>
        <w:rPr>
          <w:rFonts w:hint="eastAsia" w:ascii="仿宋_GB2312" w:hAnsi="宋体" w:eastAsia="仿宋_GB2312" w:cs="Times New Roman"/>
          <w:sz w:val="28"/>
          <w:szCs w:val="28"/>
        </w:rPr>
        <w:t>每套构成：</w:t>
      </w:r>
      <w:r>
        <w:rPr>
          <w:rFonts w:hint="eastAsia" w:ascii="仿宋_GB2312" w:hAnsi="仿宋_GB2312" w:eastAsia="仿宋_GB2312" w:cs="仿宋_GB2312"/>
          <w:sz w:val="28"/>
          <w:szCs w:val="28"/>
        </w:rPr>
        <w:t>1400×235×6mm规格18片；</w:t>
      </w:r>
      <w:r>
        <w:rPr>
          <w:rFonts w:ascii="仿宋_GB2312" w:hAnsi="宋体" w:eastAsia="仿宋_GB2312"/>
          <w:sz w:val="28"/>
          <w:szCs w:val="28"/>
        </w:rPr>
        <w:t xml:space="preserve"> </w:t>
      </w:r>
    </w:p>
    <w:p>
      <w:pPr>
        <w:spacing w:beforeLines="50"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2、使用条件</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2.1、电解液含铜量：≤</w:t>
      </w:r>
      <w:r>
        <w:rPr>
          <w:rFonts w:ascii="仿宋_GB2312" w:hAnsi="仿宋_GB2312" w:eastAsia="仿宋_GB2312" w:cs="仿宋_GB2312"/>
          <w:sz w:val="28"/>
          <w:szCs w:val="28"/>
        </w:rPr>
        <w:t>120g/L</w:t>
      </w:r>
      <w:r>
        <w:rPr>
          <w:rFonts w:hint="eastAsia" w:ascii="仿宋_GB2312" w:hAnsi="仿宋_GB2312" w:eastAsia="仿宋_GB2312" w:cs="仿宋_GB2312"/>
          <w:sz w:val="28"/>
          <w:szCs w:val="28"/>
        </w:rPr>
        <w:t>、含硫酸量：≤</w:t>
      </w:r>
      <w:r>
        <w:rPr>
          <w:rFonts w:ascii="仿宋_GB2312" w:hAnsi="仿宋_GB2312" w:eastAsia="仿宋_GB2312" w:cs="仿宋_GB2312"/>
          <w:sz w:val="28"/>
          <w:szCs w:val="28"/>
        </w:rPr>
        <w:t>150g/L</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2.2、电解液温度：≤</w:t>
      </w:r>
      <w:r>
        <w:rPr>
          <w:rFonts w:ascii="仿宋_GB2312" w:hAnsi="仿宋_GB2312" w:eastAsia="仿宋_GB2312" w:cs="仿宋_GB2312"/>
          <w:sz w:val="28"/>
          <w:szCs w:val="28"/>
        </w:rPr>
        <w:t>60</w:t>
      </w:r>
      <w:r>
        <w:rPr>
          <w:rFonts w:hint="eastAsia" w:ascii="仿宋_GB2312" w:hAnsi="仿宋_GB2312" w:eastAsia="仿宋_GB2312" w:cs="仿宋_GB2312"/>
          <w:sz w:val="28"/>
          <w:szCs w:val="28"/>
        </w:rPr>
        <w:t>℃</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2.3、电流密度：≤</w:t>
      </w:r>
      <w:r>
        <w:rPr>
          <w:rFonts w:ascii="仿宋_GB2312" w:hAnsi="仿宋_GB2312" w:eastAsia="仿宋_GB2312" w:cs="仿宋_GB2312"/>
          <w:sz w:val="28"/>
          <w:szCs w:val="28"/>
        </w:rPr>
        <w:t>7000A/m2</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2.4、电解液</w:t>
      </w:r>
      <w:r>
        <w:rPr>
          <w:rFonts w:ascii="仿宋_GB2312" w:hAnsi="仿宋_GB2312" w:eastAsia="仿宋_GB2312" w:cs="仿宋_GB2312"/>
          <w:sz w:val="28"/>
          <w:szCs w:val="28"/>
        </w:rPr>
        <w:t>F</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0.6ppm</w:t>
      </w:r>
      <w:r>
        <w:rPr>
          <w:rFonts w:hint="eastAsia" w:ascii="仿宋_GB2312" w:hAnsi="仿宋_GB2312" w:eastAsia="仿宋_GB2312" w:cs="仿宋_GB2312"/>
          <w:sz w:val="28"/>
          <w:szCs w:val="28"/>
        </w:rPr>
        <w:t>、凝胶物含量：≤</w:t>
      </w:r>
      <w:r>
        <w:rPr>
          <w:rFonts w:ascii="仿宋_GB2312" w:hAnsi="仿宋_GB2312" w:eastAsia="仿宋_GB2312" w:cs="仿宋_GB2312"/>
          <w:sz w:val="28"/>
          <w:szCs w:val="28"/>
        </w:rPr>
        <w:t>10ppm</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2.5、电解液</w:t>
      </w:r>
      <w:r>
        <w:rPr>
          <w:rFonts w:ascii="仿宋_GB2312" w:hAnsi="仿宋_GB2312" w:eastAsia="仿宋_GB2312" w:cs="仿宋_GB2312"/>
          <w:sz w:val="28"/>
          <w:szCs w:val="28"/>
        </w:rPr>
        <w:t>Co</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200ppm</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Cr</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200ppm</w:t>
      </w:r>
    </w:p>
    <w:p>
      <w:pPr>
        <w:spacing w:beforeLines="50"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3、保证条款</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highlight w:val="yellow"/>
        </w:rPr>
        <w:t>阳极板涂层在正常使用条件下合同寿命为（</w:t>
      </w:r>
      <w:r>
        <w:rPr>
          <w:rFonts w:ascii="仿宋_GB2312" w:hAnsi="仿宋_GB2312" w:eastAsia="仿宋_GB2312" w:cs="仿宋_GB2312"/>
          <w:sz w:val="28"/>
          <w:szCs w:val="28"/>
          <w:highlight w:val="yellow"/>
        </w:rPr>
        <w:t>3</w:t>
      </w:r>
      <w:r>
        <w:rPr>
          <w:rFonts w:hint="eastAsia" w:ascii="仿宋_GB2312" w:hAnsi="仿宋_GB2312" w:eastAsia="仿宋_GB2312" w:cs="仿宋_GB2312"/>
          <w:sz w:val="28"/>
          <w:szCs w:val="28"/>
          <w:highlight w:val="yellow"/>
        </w:rPr>
        <w:t>500</w:t>
      </w:r>
      <w:r>
        <w:rPr>
          <w:rFonts w:ascii="仿宋_GB2312" w:hAnsi="仿宋_GB2312" w:eastAsia="仿宋_GB2312" w:cs="仿宋_GB2312"/>
          <w:sz w:val="28"/>
          <w:szCs w:val="28"/>
          <w:highlight w:val="yellow"/>
        </w:rPr>
        <w:t>0KAh</w:t>
      </w:r>
      <w:r>
        <w:rPr>
          <w:rFonts w:hint="eastAsia" w:ascii="仿宋_GB2312" w:hAnsi="仿宋_GB2312" w:eastAsia="仿宋_GB2312" w:cs="仿宋_GB2312"/>
          <w:sz w:val="28"/>
          <w:szCs w:val="28"/>
          <w:highlight w:val="yellow"/>
        </w:rPr>
        <w:t>，即5032小时），阳极板实际寿命达不到合同寿命40%（2012小时）和实际寿命超出合同寿命（5032小时）以上部分招标方免费使用，</w:t>
      </w:r>
      <w:r>
        <w:rPr>
          <w:rFonts w:hint="eastAsia" w:ascii="仿宋_GB2312" w:hAnsi="宋体" w:eastAsia="仿宋_GB2312"/>
          <w:sz w:val="28"/>
          <w:szCs w:val="28"/>
          <w:highlight w:val="yellow"/>
        </w:rPr>
        <w:t>不计入结算寿命</w:t>
      </w:r>
      <w:r>
        <w:rPr>
          <w:rFonts w:hint="eastAsia" w:ascii="仿宋_GB2312" w:hAnsi="仿宋_GB2312" w:eastAsia="仿宋_GB2312" w:cs="仿宋_GB2312"/>
          <w:sz w:val="28"/>
          <w:szCs w:val="28"/>
          <w:highlight w:val="yellow"/>
        </w:rPr>
        <w:t>。</w:t>
      </w:r>
      <w:r>
        <w:rPr>
          <w:rFonts w:hint="eastAsia" w:ascii="仿宋_GB2312" w:hAnsi="宋体" w:eastAsia="仿宋_GB2312"/>
          <w:sz w:val="28"/>
          <w:szCs w:val="28"/>
          <w:highlight w:val="yellow"/>
        </w:rPr>
        <w:t>实际寿命达到2012小时以上的根据实际使用寿命（最高计算寿命为5032小时）据实结算</w:t>
      </w:r>
      <w:r>
        <w:rPr>
          <w:rFonts w:hint="eastAsia" w:ascii="仿宋_GB2312" w:hAnsi="仿宋_GB2312" w:eastAsia="仿宋_GB2312" w:cs="仿宋_GB2312"/>
          <w:sz w:val="28"/>
          <w:szCs w:val="28"/>
          <w:highlight w:val="yellow"/>
        </w:rPr>
        <w:t>，结算寿命不足部分招标方根据本次</w:t>
      </w:r>
      <w:r>
        <w:rPr>
          <w:rFonts w:ascii="仿宋_GB2312" w:hAnsi="仿宋_GB2312" w:eastAsia="仿宋_GB2312" w:cs="仿宋_GB2312"/>
          <w:sz w:val="28"/>
          <w:szCs w:val="28"/>
          <w:highlight w:val="yellow"/>
        </w:rPr>
        <w:t>的</w:t>
      </w:r>
      <w:r>
        <w:rPr>
          <w:rFonts w:hint="eastAsia" w:ascii="仿宋_GB2312" w:hAnsi="仿宋_GB2312" w:eastAsia="仿宋_GB2312" w:cs="仿宋_GB2312"/>
          <w:sz w:val="28"/>
          <w:szCs w:val="28"/>
          <w:highlight w:val="yellow"/>
        </w:rPr>
        <w:t>采购单价按比例结算后从合同总金额中扣除。</w:t>
      </w:r>
    </w:p>
    <w:p>
      <w:pPr>
        <w:spacing w:beforeLines="50"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4、违约责任</w:t>
      </w:r>
    </w:p>
    <w:p>
      <w:pPr>
        <w:spacing w:line="360" w:lineRule="auto"/>
        <w:ind w:firstLine="560" w:firstLineChars="200"/>
        <w:rPr>
          <w:rFonts w:ascii="仿宋_GB2312" w:hAnsi="宋体" w:eastAsia="仿宋_GB2312"/>
          <w:b/>
          <w:sz w:val="28"/>
          <w:szCs w:val="28"/>
        </w:rPr>
      </w:pPr>
      <w:r>
        <w:rPr>
          <w:rFonts w:hint="eastAsia" w:ascii="仿宋_GB2312" w:hAnsi="宋体" w:eastAsia="仿宋_GB2312"/>
          <w:bCs/>
          <w:sz w:val="28"/>
          <w:szCs w:val="28"/>
          <w:shd w:val="clear" w:color="auto" w:fill="FFFFFF"/>
        </w:rPr>
        <w:t>在合同履行过程中，若乙方未按照约定履行应尽的义务或者交付的标的未达到甲方的要求，除其他条款已有约定外，还应向甲方支付合同总金额20%的违约金，并赔偿由此给甲方造成的全部损失，甲方有权直接从未付款中扣除，不足部分乙方仍需赔偿，且甲方有权直接解除合同，而无需承担任何责任，乙方须返还甲方前期支付的费用。</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3"/>
        <w:gridCol w:w="1653"/>
        <w:gridCol w:w="6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spacing w:line="360" w:lineRule="auto"/>
              <w:ind w:right="70"/>
              <w:jc w:val="center"/>
              <w:rPr>
                <w:rFonts w:ascii="仿宋_GB2312" w:hAnsi="宋体" w:eastAsia="仿宋_GB2312"/>
                <w:b/>
                <w:sz w:val="28"/>
                <w:szCs w:val="28"/>
              </w:rPr>
            </w:pPr>
            <w:r>
              <w:rPr>
                <w:rFonts w:hint="eastAsia" w:ascii="仿宋_GB2312" w:hAnsi="宋体" w:eastAsia="仿宋_GB2312"/>
                <w:b/>
                <w:sz w:val="28"/>
                <w:szCs w:val="28"/>
              </w:rPr>
              <w:t>报价单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报价公司名称：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项目</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铜箔品质提升项目2套背拉式阳极板加工项目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交货期限</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合同签订后45日内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w:t>
            </w:r>
          </w:p>
        </w:tc>
        <w:tc>
          <w:tcPr>
            <w:tcW w:w="7679" w:type="dxa"/>
            <w:gridSpan w:val="2"/>
          </w:tcPr>
          <w:p>
            <w:pPr>
              <w:tabs>
                <w:tab w:val="left" w:pos="945"/>
              </w:tabs>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元/套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税率</w:t>
            </w:r>
          </w:p>
        </w:tc>
        <w:tc>
          <w:tcPr>
            <w:tcW w:w="1653" w:type="dxa"/>
          </w:tcPr>
          <w:p>
            <w:pPr>
              <w:spacing w:line="360" w:lineRule="auto"/>
              <w:ind w:right="70" w:firstLine="700" w:firstLineChars="250"/>
              <w:rPr>
                <w:rFonts w:ascii="仿宋_GB2312" w:hAnsi="宋体" w:eastAsia="仿宋_GB2312"/>
                <w:sz w:val="28"/>
                <w:szCs w:val="28"/>
              </w:rPr>
            </w:pPr>
            <w:r>
              <w:rPr>
                <w:rFonts w:hint="eastAsia" w:ascii="仿宋_GB2312" w:hAnsi="宋体" w:eastAsia="仿宋_GB2312"/>
                <w:sz w:val="28"/>
                <w:szCs w:val="28"/>
              </w:rPr>
              <w:t>%</w:t>
            </w:r>
          </w:p>
        </w:tc>
        <w:tc>
          <w:tcPr>
            <w:tcW w:w="6026" w:type="dxa"/>
          </w:tcPr>
          <w:p>
            <w:pPr>
              <w:spacing w:line="360" w:lineRule="auto"/>
              <w:ind w:right="70"/>
              <w:rPr>
                <w:rFonts w:ascii="仿宋_GB2312" w:hAnsi="宋体" w:eastAsia="仿宋_GB2312"/>
                <w:sz w:val="28"/>
                <w:szCs w:val="28"/>
              </w:rPr>
            </w:pPr>
            <w:r>
              <w:rPr>
                <w:rFonts w:hint="eastAsia"/>
                <w:color w:val="000000"/>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color w:val="000000"/>
              </w:rPr>
              <w:t>增值税</w:t>
            </w:r>
            <w:r>
              <w:rPr>
                <w:rFonts w:hint="eastAsia"/>
                <w:color w:val="000000"/>
              </w:rPr>
              <w:fldChar w:fldCharType="end"/>
            </w:r>
            <w:r>
              <w:rPr>
                <w:rFonts w:hint="eastAsia"/>
                <w:color w:val="000000"/>
                <w:szCs w:val="21"/>
                <w:shd w:val="clear" w:color="auto" w:fill="FFFFFF"/>
              </w:rPr>
              <w:t>专用发票、普通发票、专业发票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服务内容</w:t>
            </w:r>
          </w:p>
        </w:tc>
        <w:tc>
          <w:tcPr>
            <w:tcW w:w="7679" w:type="dxa"/>
            <w:gridSpan w:val="2"/>
          </w:tcPr>
          <w:p>
            <w:pPr>
              <w:spacing w:line="360" w:lineRule="auto"/>
              <w:ind w:right="70"/>
              <w:rPr>
                <w:rFonts w:ascii="仿宋_GB2312" w:hAnsi="宋体"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备注</w:t>
            </w:r>
          </w:p>
        </w:tc>
        <w:tc>
          <w:tcPr>
            <w:tcW w:w="7679" w:type="dxa"/>
            <w:gridSpan w:val="2"/>
          </w:tcPr>
          <w:p>
            <w:pPr>
              <w:spacing w:line="360" w:lineRule="auto"/>
              <w:ind w:right="70"/>
              <w:rPr>
                <w:rFonts w:ascii="仿宋_GB2312" w:hAnsi="宋体" w:eastAsia="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ascii="仿宋_GB2312" w:hAnsi="仿宋_GB2312" w:eastAsia="仿宋_GB2312" w:cs="仿宋_GB231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4EEE7"/>
    <w:multiLevelType w:val="singleLevel"/>
    <w:tmpl w:val="5AF4EEE7"/>
    <w:lvl w:ilvl="0" w:tentative="0">
      <w:start w:val="1"/>
      <w:numFmt w:val="chineseCounting"/>
      <w:suff w:val="nothing"/>
      <w:lvlText w:val="%1、"/>
      <w:lvlJc w:val="left"/>
    </w:lvl>
  </w:abstractNum>
  <w:abstractNum w:abstractNumId="1">
    <w:nsid w:val="5AF4F296"/>
    <w:multiLevelType w:val="singleLevel"/>
    <w:tmpl w:val="5AF4F2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03B40"/>
    <w:rsid w:val="0001147C"/>
    <w:rsid w:val="000140A9"/>
    <w:rsid w:val="0002639C"/>
    <w:rsid w:val="00027D1A"/>
    <w:rsid w:val="000362C2"/>
    <w:rsid w:val="00036BE2"/>
    <w:rsid w:val="00094C94"/>
    <w:rsid w:val="000958C3"/>
    <w:rsid w:val="000B373A"/>
    <w:rsid w:val="000B3F16"/>
    <w:rsid w:val="000D67C5"/>
    <w:rsid w:val="001000BA"/>
    <w:rsid w:val="00107970"/>
    <w:rsid w:val="00110885"/>
    <w:rsid w:val="0011252F"/>
    <w:rsid w:val="00116236"/>
    <w:rsid w:val="001217FC"/>
    <w:rsid w:val="00123394"/>
    <w:rsid w:val="0013572F"/>
    <w:rsid w:val="00141E69"/>
    <w:rsid w:val="00150145"/>
    <w:rsid w:val="00153B2F"/>
    <w:rsid w:val="001815FF"/>
    <w:rsid w:val="001A45C5"/>
    <w:rsid w:val="001A7310"/>
    <w:rsid w:val="001B40E5"/>
    <w:rsid w:val="001C7036"/>
    <w:rsid w:val="001C75A3"/>
    <w:rsid w:val="001D0E12"/>
    <w:rsid w:val="001D32D0"/>
    <w:rsid w:val="001D46FF"/>
    <w:rsid w:val="00210E7B"/>
    <w:rsid w:val="00250BED"/>
    <w:rsid w:val="00262A77"/>
    <w:rsid w:val="00265544"/>
    <w:rsid w:val="00266375"/>
    <w:rsid w:val="002C40D1"/>
    <w:rsid w:val="002D3757"/>
    <w:rsid w:val="003050A0"/>
    <w:rsid w:val="003075C8"/>
    <w:rsid w:val="0031742A"/>
    <w:rsid w:val="003409CF"/>
    <w:rsid w:val="00340E16"/>
    <w:rsid w:val="00345F78"/>
    <w:rsid w:val="003478F1"/>
    <w:rsid w:val="00347F0E"/>
    <w:rsid w:val="00361629"/>
    <w:rsid w:val="00362D44"/>
    <w:rsid w:val="003646AB"/>
    <w:rsid w:val="00374126"/>
    <w:rsid w:val="00376B83"/>
    <w:rsid w:val="00380C1E"/>
    <w:rsid w:val="003C74F7"/>
    <w:rsid w:val="003F678E"/>
    <w:rsid w:val="0040471F"/>
    <w:rsid w:val="004161F2"/>
    <w:rsid w:val="00416D33"/>
    <w:rsid w:val="00425696"/>
    <w:rsid w:val="00434F86"/>
    <w:rsid w:val="00447816"/>
    <w:rsid w:val="00450557"/>
    <w:rsid w:val="0045719E"/>
    <w:rsid w:val="00483C2E"/>
    <w:rsid w:val="004859AF"/>
    <w:rsid w:val="00486305"/>
    <w:rsid w:val="0048716E"/>
    <w:rsid w:val="00487F6A"/>
    <w:rsid w:val="00491570"/>
    <w:rsid w:val="004B3D75"/>
    <w:rsid w:val="004C1FC6"/>
    <w:rsid w:val="004D5F40"/>
    <w:rsid w:val="004F0345"/>
    <w:rsid w:val="005116DA"/>
    <w:rsid w:val="00537979"/>
    <w:rsid w:val="00543389"/>
    <w:rsid w:val="00544194"/>
    <w:rsid w:val="00556B73"/>
    <w:rsid w:val="005963B2"/>
    <w:rsid w:val="005A7C09"/>
    <w:rsid w:val="005B7CEB"/>
    <w:rsid w:val="005C5AD3"/>
    <w:rsid w:val="005E2EF6"/>
    <w:rsid w:val="005E5E9F"/>
    <w:rsid w:val="005E5EF8"/>
    <w:rsid w:val="005E6B4B"/>
    <w:rsid w:val="00601BC2"/>
    <w:rsid w:val="006029C2"/>
    <w:rsid w:val="00664FB6"/>
    <w:rsid w:val="00694990"/>
    <w:rsid w:val="00694F8C"/>
    <w:rsid w:val="006A6308"/>
    <w:rsid w:val="006D0EF5"/>
    <w:rsid w:val="006E3DC8"/>
    <w:rsid w:val="006F00C4"/>
    <w:rsid w:val="00705975"/>
    <w:rsid w:val="007106C3"/>
    <w:rsid w:val="00723978"/>
    <w:rsid w:val="00723E0D"/>
    <w:rsid w:val="0073346E"/>
    <w:rsid w:val="007378A3"/>
    <w:rsid w:val="00746246"/>
    <w:rsid w:val="0076721C"/>
    <w:rsid w:val="00782A28"/>
    <w:rsid w:val="007831CF"/>
    <w:rsid w:val="0079116F"/>
    <w:rsid w:val="007C28D4"/>
    <w:rsid w:val="007C49B9"/>
    <w:rsid w:val="007C5761"/>
    <w:rsid w:val="007C6E87"/>
    <w:rsid w:val="007F2878"/>
    <w:rsid w:val="007F5288"/>
    <w:rsid w:val="00800794"/>
    <w:rsid w:val="00800CDD"/>
    <w:rsid w:val="008112FA"/>
    <w:rsid w:val="00811F66"/>
    <w:rsid w:val="0081621E"/>
    <w:rsid w:val="008269DC"/>
    <w:rsid w:val="00834645"/>
    <w:rsid w:val="00834C4E"/>
    <w:rsid w:val="00837C0F"/>
    <w:rsid w:val="00842BA4"/>
    <w:rsid w:val="008445AC"/>
    <w:rsid w:val="00852EF3"/>
    <w:rsid w:val="008721D0"/>
    <w:rsid w:val="00873B39"/>
    <w:rsid w:val="00877824"/>
    <w:rsid w:val="00882D70"/>
    <w:rsid w:val="00891B8D"/>
    <w:rsid w:val="00894F8F"/>
    <w:rsid w:val="008950B7"/>
    <w:rsid w:val="008A7096"/>
    <w:rsid w:val="00920A1A"/>
    <w:rsid w:val="009221F9"/>
    <w:rsid w:val="00924D21"/>
    <w:rsid w:val="00926744"/>
    <w:rsid w:val="00931CCB"/>
    <w:rsid w:val="009407FC"/>
    <w:rsid w:val="00963A40"/>
    <w:rsid w:val="009650B7"/>
    <w:rsid w:val="00975E9F"/>
    <w:rsid w:val="009A5A78"/>
    <w:rsid w:val="009B73F4"/>
    <w:rsid w:val="009D5B70"/>
    <w:rsid w:val="009E7FE7"/>
    <w:rsid w:val="009F512B"/>
    <w:rsid w:val="00A25339"/>
    <w:rsid w:val="00A25BEF"/>
    <w:rsid w:val="00A33CA9"/>
    <w:rsid w:val="00A37EC4"/>
    <w:rsid w:val="00A571C0"/>
    <w:rsid w:val="00A753AD"/>
    <w:rsid w:val="00AB3189"/>
    <w:rsid w:val="00AE3097"/>
    <w:rsid w:val="00B02199"/>
    <w:rsid w:val="00B02A04"/>
    <w:rsid w:val="00B06D55"/>
    <w:rsid w:val="00B2350A"/>
    <w:rsid w:val="00B637ED"/>
    <w:rsid w:val="00B66F6F"/>
    <w:rsid w:val="00B73F98"/>
    <w:rsid w:val="00B75AA3"/>
    <w:rsid w:val="00B75E47"/>
    <w:rsid w:val="00B858A1"/>
    <w:rsid w:val="00B94A21"/>
    <w:rsid w:val="00BB77E2"/>
    <w:rsid w:val="00BC01C9"/>
    <w:rsid w:val="00BC6433"/>
    <w:rsid w:val="00BE2C08"/>
    <w:rsid w:val="00C0588B"/>
    <w:rsid w:val="00C354EF"/>
    <w:rsid w:val="00C562B9"/>
    <w:rsid w:val="00C6530A"/>
    <w:rsid w:val="00C756C1"/>
    <w:rsid w:val="00C80138"/>
    <w:rsid w:val="00CA062E"/>
    <w:rsid w:val="00CB5126"/>
    <w:rsid w:val="00CB62F8"/>
    <w:rsid w:val="00CC13DB"/>
    <w:rsid w:val="00CC2C47"/>
    <w:rsid w:val="00CC7EFE"/>
    <w:rsid w:val="00CD0746"/>
    <w:rsid w:val="00CD3823"/>
    <w:rsid w:val="00CE1467"/>
    <w:rsid w:val="00D036A0"/>
    <w:rsid w:val="00D072CD"/>
    <w:rsid w:val="00D244F1"/>
    <w:rsid w:val="00D37668"/>
    <w:rsid w:val="00D607A6"/>
    <w:rsid w:val="00D66370"/>
    <w:rsid w:val="00D7174A"/>
    <w:rsid w:val="00D813B1"/>
    <w:rsid w:val="00D84FD9"/>
    <w:rsid w:val="00DC1639"/>
    <w:rsid w:val="00DC2926"/>
    <w:rsid w:val="00E055A2"/>
    <w:rsid w:val="00E108FE"/>
    <w:rsid w:val="00E15EAC"/>
    <w:rsid w:val="00E1660C"/>
    <w:rsid w:val="00E602BD"/>
    <w:rsid w:val="00E82001"/>
    <w:rsid w:val="00E83B1B"/>
    <w:rsid w:val="00E93EAB"/>
    <w:rsid w:val="00E95DC6"/>
    <w:rsid w:val="00EA24F4"/>
    <w:rsid w:val="00EA2A6F"/>
    <w:rsid w:val="00EA3ECD"/>
    <w:rsid w:val="00EA5017"/>
    <w:rsid w:val="00EB67CF"/>
    <w:rsid w:val="00EB77FD"/>
    <w:rsid w:val="00EC0E5B"/>
    <w:rsid w:val="00ED5369"/>
    <w:rsid w:val="00ED7119"/>
    <w:rsid w:val="00F009F5"/>
    <w:rsid w:val="00F02AA1"/>
    <w:rsid w:val="00F04AE1"/>
    <w:rsid w:val="00F1167F"/>
    <w:rsid w:val="00F20309"/>
    <w:rsid w:val="00F2458E"/>
    <w:rsid w:val="00F27AB5"/>
    <w:rsid w:val="00F9392B"/>
    <w:rsid w:val="00F94F76"/>
    <w:rsid w:val="00FD03BA"/>
    <w:rsid w:val="00FF037C"/>
    <w:rsid w:val="01844E58"/>
    <w:rsid w:val="052F7BE9"/>
    <w:rsid w:val="07571DAC"/>
    <w:rsid w:val="07E354E8"/>
    <w:rsid w:val="098B184A"/>
    <w:rsid w:val="0BC77592"/>
    <w:rsid w:val="0DB77E27"/>
    <w:rsid w:val="0E0352DB"/>
    <w:rsid w:val="107E1436"/>
    <w:rsid w:val="107F16C6"/>
    <w:rsid w:val="14D70820"/>
    <w:rsid w:val="161F67E9"/>
    <w:rsid w:val="18AB3EEC"/>
    <w:rsid w:val="199D333E"/>
    <w:rsid w:val="1A5959E3"/>
    <w:rsid w:val="1C7F3202"/>
    <w:rsid w:val="1E0848A5"/>
    <w:rsid w:val="1E3F18D8"/>
    <w:rsid w:val="1F456344"/>
    <w:rsid w:val="202C1374"/>
    <w:rsid w:val="219A24C7"/>
    <w:rsid w:val="233D6EE4"/>
    <w:rsid w:val="23557DEB"/>
    <w:rsid w:val="24231D8E"/>
    <w:rsid w:val="25915A0E"/>
    <w:rsid w:val="261A4D4C"/>
    <w:rsid w:val="27C33CA0"/>
    <w:rsid w:val="2A6A5A19"/>
    <w:rsid w:val="2B5108D7"/>
    <w:rsid w:val="2B7C2FDF"/>
    <w:rsid w:val="2BE66046"/>
    <w:rsid w:val="31B30842"/>
    <w:rsid w:val="3202624E"/>
    <w:rsid w:val="33CF0D98"/>
    <w:rsid w:val="34377F50"/>
    <w:rsid w:val="3E25152A"/>
    <w:rsid w:val="3FFA719D"/>
    <w:rsid w:val="406C535E"/>
    <w:rsid w:val="44315157"/>
    <w:rsid w:val="45011451"/>
    <w:rsid w:val="484336AB"/>
    <w:rsid w:val="49586F36"/>
    <w:rsid w:val="4A4E61A1"/>
    <w:rsid w:val="4AC23C30"/>
    <w:rsid w:val="4BA1425C"/>
    <w:rsid w:val="4CA95EBA"/>
    <w:rsid w:val="4D7C282A"/>
    <w:rsid w:val="4DFC6236"/>
    <w:rsid w:val="51AD6F01"/>
    <w:rsid w:val="52D954E2"/>
    <w:rsid w:val="538B5D6C"/>
    <w:rsid w:val="546759DA"/>
    <w:rsid w:val="547C4E2A"/>
    <w:rsid w:val="54C67B58"/>
    <w:rsid w:val="577E200A"/>
    <w:rsid w:val="59336400"/>
    <w:rsid w:val="5D054434"/>
    <w:rsid w:val="5EA87FAD"/>
    <w:rsid w:val="636546D8"/>
    <w:rsid w:val="63DA6F64"/>
    <w:rsid w:val="64AB558A"/>
    <w:rsid w:val="661117E2"/>
    <w:rsid w:val="6DC2661B"/>
    <w:rsid w:val="6F253CD4"/>
    <w:rsid w:val="712C5A62"/>
    <w:rsid w:val="7452317D"/>
    <w:rsid w:val="753D7DC7"/>
    <w:rsid w:val="75936E93"/>
    <w:rsid w:val="760A5128"/>
    <w:rsid w:val="77D575CC"/>
    <w:rsid w:val="78FB30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0"/>
    <w:rPr>
      <w:rFonts w:eastAsia="宋体"/>
      <w:kern w:val="2"/>
      <w:sz w:val="18"/>
      <w:szCs w:val="18"/>
    </w:rPr>
  </w:style>
  <w:style w:type="character" w:customStyle="1" w:styleId="12">
    <w:name w:val="页脚 Char"/>
    <w:basedOn w:val="9"/>
    <w:link w:val="4"/>
    <w:qFormat/>
    <w:uiPriority w:val="0"/>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9"/>
    <w:link w:val="3"/>
    <w:qFormat/>
    <w:uiPriority w:val="0"/>
    <w:rPr>
      <w:rFonts w:eastAsia="宋体"/>
      <w:kern w:val="2"/>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customStyle="1" w:styleId="16">
    <w:name w:val="Normal_3"/>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F314E-3313-476E-9DE0-549B94F32A6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284</Words>
  <Characters>1620</Characters>
  <Lines>13</Lines>
  <Paragraphs>3</Paragraphs>
  <TotalTime>22</TotalTime>
  <ScaleCrop>false</ScaleCrop>
  <LinksUpToDate>false</LinksUpToDate>
  <CharactersWithSpaces>1901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2018-05-11T02:43:00Z</cp:lastPrinted>
  <dcterms:modified xsi:type="dcterms:W3CDTF">2021-12-23T03:12:32Z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ED7531915770429F97D29198D84C9D78</vt:lpwstr>
  </property>
</Properties>
</file>